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41AB" w14:textId="77777777" w:rsidR="006704C2" w:rsidRDefault="006704C2">
      <w:pPr>
        <w:rPr>
          <w:rFonts w:ascii="黑体" w:eastAsia="黑体" w:hAnsi="黑体" w:hint="eastAsia"/>
          <w:sz w:val="32"/>
          <w:szCs w:val="32"/>
        </w:rPr>
      </w:pPr>
    </w:p>
    <w:p w14:paraId="50F9FE88" w14:textId="77777777" w:rsidR="006704C2" w:rsidRDefault="006704C2">
      <w:pPr>
        <w:jc w:val="center"/>
        <w:rPr>
          <w:rFonts w:ascii="方正小标宋_GBK" w:eastAsia="方正小标宋_GBK" w:hAnsi="宋体" w:hint="eastAsia"/>
          <w:sz w:val="44"/>
          <w:szCs w:val="44"/>
        </w:rPr>
      </w:pPr>
    </w:p>
    <w:p w14:paraId="21A69734"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木垒哈萨克自治县草原工作站</w:t>
      </w:r>
    </w:p>
    <w:p w14:paraId="0F0359AB"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E93BC4E"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ABC53D" w14:textId="77777777" w:rsidR="006704C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CBAAB3F" w14:textId="77777777" w:rsidR="006704C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04873EC" w14:textId="77777777" w:rsidR="006704C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6704C2">
          <w:rPr>
            <w:rFonts w:ascii="仿宋_GB2312" w:eastAsia="仿宋_GB2312" w:hAnsi="仿宋_GB2312" w:cs="仿宋_GB2312" w:hint="eastAsia"/>
            <w:b/>
            <w:bCs/>
            <w:sz w:val="32"/>
            <w:szCs w:val="32"/>
          </w:rPr>
          <w:t>第一部分 单位概况</w:t>
        </w:r>
      </w:hyperlink>
    </w:p>
    <w:p w14:paraId="7693C4A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DEC230C"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7094646" w14:textId="77777777" w:rsidR="006704C2" w:rsidRDefault="006704C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9D9A6C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DDFCE5F"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FD078E"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F177B92"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2EC7798"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B4B6BE"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D37D8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83811B"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FCB337" w14:textId="77777777" w:rsidR="006704C2" w:rsidRDefault="006704C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74069E"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2EB9BC" w14:textId="77777777" w:rsidR="006704C2" w:rsidRDefault="006704C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0982F13" w14:textId="77777777" w:rsidR="006704C2" w:rsidRDefault="006704C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952B436" w14:textId="77777777" w:rsidR="006704C2" w:rsidRDefault="006704C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D839F5"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6344AA4"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F2038DE" w14:textId="77777777" w:rsidR="006704C2" w:rsidRDefault="006704C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2325478" w14:textId="77777777" w:rsidR="006704C2" w:rsidRDefault="006704C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FDF65CC"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5113A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6BF7FC"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156460"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5B88AF2"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3B7381D"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6F06DFA"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0B7E78F" w14:textId="77777777" w:rsidR="006704C2" w:rsidRDefault="006704C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A3B4DB0" w14:textId="77777777" w:rsidR="006704C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02032C7" w14:textId="77777777" w:rsidR="006704C2" w:rsidRDefault="00000000">
      <w:r>
        <w:rPr>
          <w:rFonts w:ascii="仿宋_GB2312" w:eastAsia="仿宋_GB2312" w:hAnsi="仿宋_GB2312" w:cs="仿宋_GB2312" w:hint="eastAsia"/>
          <w:sz w:val="32"/>
          <w:szCs w:val="32"/>
        </w:rPr>
        <w:fldChar w:fldCharType="end"/>
      </w:r>
    </w:p>
    <w:p w14:paraId="5E48CDF7" w14:textId="77777777" w:rsidR="006704C2" w:rsidRDefault="00000000">
      <w:pPr>
        <w:rPr>
          <w:rFonts w:ascii="仿宋_GB2312" w:eastAsia="仿宋_GB2312"/>
          <w:sz w:val="32"/>
          <w:szCs w:val="32"/>
        </w:rPr>
      </w:pPr>
      <w:r>
        <w:rPr>
          <w:rFonts w:ascii="仿宋_GB2312" w:eastAsia="仿宋_GB2312" w:hint="eastAsia"/>
          <w:sz w:val="32"/>
          <w:szCs w:val="32"/>
        </w:rPr>
        <w:br w:type="page"/>
      </w:r>
    </w:p>
    <w:p w14:paraId="2A12561F" w14:textId="77777777" w:rsidR="006704C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7EB17D" w14:textId="77777777" w:rsidR="006704C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7ED1EC3" w14:textId="77777777" w:rsidR="00950763" w:rsidRDefault="00000000">
      <w:pPr>
        <w:ind w:firstLineChars="200" w:firstLine="640"/>
        <w:jc w:val="left"/>
        <w:rPr>
          <w:rFonts w:ascii="仿宋_GB2312" w:eastAsia="仿宋_GB2312" w:hAnsi="宋体" w:hint="eastAsia"/>
          <w:bCs/>
          <w:sz w:val="32"/>
          <w:szCs w:val="32"/>
        </w:rPr>
      </w:pPr>
      <w:r>
        <w:rPr>
          <w:rFonts w:ascii="仿宋_GB2312" w:eastAsia="仿宋_GB2312" w:hAnsi="宋体" w:hint="eastAsia"/>
          <w:bCs/>
          <w:sz w:val="32"/>
          <w:szCs w:val="32"/>
        </w:rPr>
        <w:t>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负责退牧还草围栏项目的规划、建设、施工和监督检查、验收。</w:t>
      </w:r>
    </w:p>
    <w:p w14:paraId="436BD42A" w14:textId="60C16FDB" w:rsidR="006704C2" w:rsidRDefault="00000000">
      <w:pPr>
        <w:ind w:firstLineChars="200" w:firstLine="640"/>
        <w:jc w:val="left"/>
        <w:rPr>
          <w:rFonts w:ascii="仿宋_GB2312" w:eastAsia="仿宋_GB2312"/>
          <w:sz w:val="32"/>
          <w:szCs w:val="32"/>
        </w:rPr>
      </w:pPr>
      <w:r>
        <w:rPr>
          <w:rFonts w:ascii="仿宋_GB2312" w:eastAsia="仿宋_GB2312" w:hAnsi="宋体" w:hint="eastAsia"/>
          <w:bCs/>
          <w:sz w:val="32"/>
          <w:szCs w:val="32"/>
        </w:rPr>
        <w:t>负责草原生物灾害的预测预报和防治方案的制定、任务实施防治技术的规范、检查和验收。</w:t>
      </w:r>
    </w:p>
    <w:p w14:paraId="1AB71B3D" w14:textId="77777777" w:rsidR="006704C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9CADAD" w14:textId="77777777" w:rsidR="006704C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木垒哈萨克自治县草原工作站2023年度，实有人数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4</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7EBFC0BA" w14:textId="77777777" w:rsidR="006704C2" w:rsidRDefault="00000000">
      <w:pPr>
        <w:ind w:firstLineChars="200" w:firstLine="640"/>
        <w:rPr>
          <w:rFonts w:ascii="仿宋_GB2312" w:eastAsia="仿宋_GB2312"/>
          <w:sz w:val="32"/>
          <w:szCs w:val="32"/>
        </w:rPr>
        <w:sectPr w:rsidR="006704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办公室、业务科。</w:t>
      </w:r>
    </w:p>
    <w:p w14:paraId="1D519B94" w14:textId="77777777" w:rsidR="006704C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ECA47EB" w14:textId="77777777" w:rsidR="006704C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135E355"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2023年度收入总计927.27万元，其中：本年收入合计927.27万元，使用非财政拨款结余0.00万元，年初结转和结余0.00万元。</w:t>
      </w:r>
    </w:p>
    <w:p w14:paraId="5B5EE900"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2023年度支出总计927.27万元，其中：本年支出合计927.27万元，结余分配0.00万元，年末结转和结余0.00万元。</w:t>
      </w:r>
    </w:p>
    <w:p w14:paraId="631D9CE2"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w:t>
      </w:r>
    </w:p>
    <w:p w14:paraId="02187BEC" w14:textId="77777777" w:rsidR="006704C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56BCD8"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本年收入927.27万元，其中：财政拨款收入</w:t>
      </w:r>
      <w:r>
        <w:rPr>
          <w:rFonts w:ascii="仿宋_GB2312" w:eastAsia="仿宋_GB2312" w:hint="eastAsia"/>
          <w:sz w:val="32"/>
          <w:szCs w:val="32"/>
          <w:lang w:val="zh-CN"/>
        </w:rPr>
        <w:t>927.27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A974F1D" w14:textId="77777777" w:rsidR="006704C2"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9C2CF31"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本年支出927.27万元，其中：基本支出245.81万元，占26.51%；项目支出681.46万元，占73.49%；上缴上级支出0.00万元，占0.00%；经营支出0.00万元，占0.00%；对附属单位补助支出0.00万元，占0.00%。</w:t>
      </w:r>
    </w:p>
    <w:p w14:paraId="01935535" w14:textId="77777777" w:rsidR="006704C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0C3893E5"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927.27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927.27</w:t>
      </w:r>
      <w:r>
        <w:rPr>
          <w:rFonts w:ascii="仿宋_GB2312" w:eastAsia="仿宋_GB2312" w:hint="eastAsia"/>
          <w:sz w:val="32"/>
          <w:szCs w:val="32"/>
        </w:rPr>
        <w:t>万元。财政拨款支出总计</w:t>
      </w:r>
      <w:r>
        <w:rPr>
          <w:rFonts w:ascii="仿宋_GB2312" w:eastAsia="仿宋_GB2312" w:hint="eastAsia"/>
          <w:sz w:val="32"/>
          <w:szCs w:val="32"/>
          <w:lang w:val="zh-CN"/>
        </w:rPr>
        <w:t>927.27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927.27</w:t>
      </w:r>
      <w:r>
        <w:rPr>
          <w:rFonts w:ascii="仿宋_GB2312" w:eastAsia="仿宋_GB2312" w:hint="eastAsia"/>
          <w:sz w:val="32"/>
          <w:szCs w:val="32"/>
        </w:rPr>
        <w:t>万元。</w:t>
      </w:r>
    </w:p>
    <w:p w14:paraId="718E7029" w14:textId="77E68251"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927.27</w:t>
      </w:r>
      <w:r>
        <w:rPr>
          <w:rFonts w:ascii="仿宋_GB2312" w:eastAsia="仿宋_GB2312" w:hint="eastAsia"/>
          <w:sz w:val="32"/>
          <w:szCs w:val="32"/>
        </w:rPr>
        <w:t>万元，预决算差异率1</w:t>
      </w:r>
      <w:r w:rsidR="008672FE">
        <w:rPr>
          <w:rFonts w:ascii="仿宋_GB2312" w:eastAsia="仿宋_GB2312" w:hint="eastAsia"/>
          <w:sz w:val="32"/>
          <w:szCs w:val="32"/>
        </w:rPr>
        <w:t>,</w:t>
      </w:r>
      <w:r>
        <w:rPr>
          <w:rFonts w:ascii="仿宋_GB2312" w:eastAsia="仿宋_GB2312" w:hint="eastAsia"/>
          <w:sz w:val="32"/>
          <w:szCs w:val="32"/>
        </w:rPr>
        <w:t>030.95%，主要原因是：本年追加林业和草原生态修复项目资金。</w:t>
      </w:r>
    </w:p>
    <w:p w14:paraId="0071D48A" w14:textId="77777777" w:rsidR="006704C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9F362C3"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920A842"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2023年度一般公共预算财政拨款支出844.39万元，占本年支出合计的</w:t>
      </w:r>
      <w:r>
        <w:rPr>
          <w:rFonts w:ascii="仿宋_GB2312" w:eastAsia="仿宋_GB2312" w:hint="eastAsia"/>
          <w:sz w:val="32"/>
          <w:szCs w:val="32"/>
          <w:lang w:val="zh-CN"/>
        </w:rPr>
        <w:t>91.06%</w:t>
      </w:r>
      <w:r>
        <w:rPr>
          <w:rFonts w:ascii="仿宋_GB2312" w:eastAsia="仿宋_GB2312" w:hint="eastAsia"/>
          <w:sz w:val="32"/>
          <w:szCs w:val="32"/>
        </w:rPr>
        <w:t>。与上年相比，</w:t>
      </w:r>
      <w:r>
        <w:rPr>
          <w:rFonts w:ascii="仿宋_GB2312" w:eastAsia="仿宋_GB2312" w:hint="eastAsia"/>
          <w:sz w:val="32"/>
          <w:szCs w:val="32"/>
          <w:lang w:val="zh-CN"/>
        </w:rPr>
        <w:t>增加575.12万元</w:t>
      </w:r>
      <w:r>
        <w:rPr>
          <w:rFonts w:ascii="仿宋_GB2312" w:eastAsia="仿宋_GB2312" w:hint="eastAsia"/>
          <w:sz w:val="32"/>
          <w:szCs w:val="32"/>
        </w:rPr>
        <w:t>，增长213.58%,主要原因是：本年林业和草原生态修复资金增加。与年初预算相比，年初预算数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844.39</w:t>
      </w:r>
      <w:r>
        <w:rPr>
          <w:rFonts w:ascii="仿宋_GB2312" w:eastAsia="仿宋_GB2312" w:hint="eastAsia"/>
          <w:sz w:val="32"/>
          <w:szCs w:val="32"/>
        </w:rPr>
        <w:t>万元，预决算差异率</w:t>
      </w:r>
      <w:r>
        <w:rPr>
          <w:rFonts w:ascii="仿宋_GB2312" w:eastAsia="仿宋_GB2312" w:hint="eastAsia"/>
          <w:sz w:val="32"/>
          <w:szCs w:val="32"/>
          <w:lang w:val="zh-CN"/>
        </w:rPr>
        <w:t>929.87%</w:t>
      </w:r>
      <w:r>
        <w:rPr>
          <w:rFonts w:ascii="仿宋_GB2312" w:eastAsia="仿宋_GB2312" w:hint="eastAsia"/>
          <w:sz w:val="32"/>
          <w:szCs w:val="32"/>
        </w:rPr>
        <w:t>，主要原因是：本年追加林业和草原生态修复项目资金。</w:t>
      </w:r>
    </w:p>
    <w:p w14:paraId="74E3D403" w14:textId="77777777" w:rsidR="006704C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3496C3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.社会保障和就业支出（类）</w:t>
      </w:r>
      <w:r>
        <w:rPr>
          <w:rFonts w:ascii="仿宋_GB2312" w:eastAsia="仿宋_GB2312" w:hint="eastAsia"/>
          <w:sz w:val="32"/>
          <w:szCs w:val="32"/>
        </w:rPr>
        <w:t>10.94</w:t>
      </w:r>
      <w:r>
        <w:rPr>
          <w:rFonts w:ascii="仿宋_GB2312" w:eastAsia="仿宋_GB2312"/>
          <w:sz w:val="32"/>
          <w:szCs w:val="32"/>
        </w:rPr>
        <w:t>万元，占</w:t>
      </w:r>
      <w:r>
        <w:rPr>
          <w:rFonts w:ascii="仿宋_GB2312" w:eastAsia="仿宋_GB2312" w:hint="eastAsia"/>
          <w:sz w:val="32"/>
          <w:szCs w:val="32"/>
        </w:rPr>
        <w:t>1.30</w:t>
      </w:r>
      <w:r>
        <w:rPr>
          <w:rFonts w:ascii="仿宋_GB2312" w:eastAsia="仿宋_GB2312"/>
          <w:sz w:val="32"/>
          <w:szCs w:val="32"/>
        </w:rPr>
        <w:t>%；</w:t>
      </w:r>
    </w:p>
    <w:p w14:paraId="12C8DD2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.节能环保支出（类）</w:t>
      </w:r>
      <w:r>
        <w:rPr>
          <w:rFonts w:ascii="仿宋_GB2312" w:eastAsia="仿宋_GB2312" w:hint="eastAsia"/>
          <w:sz w:val="32"/>
          <w:szCs w:val="32"/>
        </w:rPr>
        <w:t>193.71</w:t>
      </w:r>
      <w:r>
        <w:rPr>
          <w:rFonts w:ascii="仿宋_GB2312" w:eastAsia="仿宋_GB2312"/>
          <w:sz w:val="32"/>
          <w:szCs w:val="32"/>
        </w:rPr>
        <w:t>万元，占</w:t>
      </w:r>
      <w:r>
        <w:rPr>
          <w:rFonts w:ascii="仿宋_GB2312" w:eastAsia="仿宋_GB2312" w:hint="eastAsia"/>
          <w:sz w:val="32"/>
          <w:szCs w:val="32"/>
        </w:rPr>
        <w:t>22.94</w:t>
      </w:r>
      <w:r>
        <w:rPr>
          <w:rFonts w:ascii="仿宋_GB2312" w:eastAsia="仿宋_GB2312"/>
          <w:sz w:val="32"/>
          <w:szCs w:val="32"/>
        </w:rPr>
        <w:t>%；</w:t>
      </w:r>
    </w:p>
    <w:p w14:paraId="3ED83DD0" w14:textId="7488E79D"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.农林水支出（类）</w:t>
      </w:r>
      <w:r>
        <w:rPr>
          <w:rFonts w:ascii="仿宋_GB2312" w:eastAsia="仿宋_GB2312" w:hint="eastAsia"/>
          <w:sz w:val="32"/>
          <w:szCs w:val="32"/>
        </w:rPr>
        <w:t>634.23</w:t>
      </w:r>
      <w:r>
        <w:rPr>
          <w:rFonts w:ascii="仿宋_GB2312" w:eastAsia="仿宋_GB2312"/>
          <w:sz w:val="32"/>
          <w:szCs w:val="32"/>
        </w:rPr>
        <w:t>万元，占</w:t>
      </w:r>
      <w:r>
        <w:rPr>
          <w:rFonts w:ascii="仿宋_GB2312" w:eastAsia="仿宋_GB2312" w:hint="eastAsia"/>
          <w:sz w:val="32"/>
          <w:szCs w:val="32"/>
        </w:rPr>
        <w:t>75.11</w:t>
      </w:r>
      <w:r>
        <w:rPr>
          <w:rFonts w:ascii="仿宋_GB2312" w:eastAsia="仿宋_GB2312"/>
          <w:sz w:val="32"/>
          <w:szCs w:val="32"/>
        </w:rPr>
        <w:t>%；</w:t>
      </w:r>
    </w:p>
    <w:p w14:paraId="08C833F3" w14:textId="4DAFA871"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w:t>
      </w:r>
      <w:r>
        <w:rPr>
          <w:rFonts w:ascii="仿宋_GB2312" w:eastAsia="仿宋_GB2312" w:hint="eastAsia"/>
          <w:sz w:val="32"/>
          <w:szCs w:val="32"/>
        </w:rPr>
        <w:t>5.51</w:t>
      </w:r>
      <w:r>
        <w:rPr>
          <w:rFonts w:ascii="仿宋_GB2312" w:eastAsia="仿宋_GB2312"/>
          <w:sz w:val="32"/>
          <w:szCs w:val="32"/>
        </w:rPr>
        <w:t>万元，占</w:t>
      </w:r>
      <w:r>
        <w:rPr>
          <w:rFonts w:ascii="仿宋_GB2312" w:eastAsia="仿宋_GB2312" w:hint="eastAsia"/>
          <w:sz w:val="32"/>
          <w:szCs w:val="32"/>
        </w:rPr>
        <w:t>0.65</w:t>
      </w:r>
      <w:r>
        <w:rPr>
          <w:rFonts w:ascii="仿宋_GB2312" w:eastAsia="仿宋_GB2312"/>
          <w:sz w:val="32"/>
          <w:szCs w:val="32"/>
        </w:rPr>
        <w:t>%</w:t>
      </w:r>
      <w:r>
        <w:rPr>
          <w:rFonts w:ascii="仿宋_GB2312" w:eastAsia="仿宋_GB2312" w:hint="eastAsia"/>
          <w:sz w:val="32"/>
          <w:szCs w:val="32"/>
        </w:rPr>
        <w:t>。</w:t>
      </w:r>
    </w:p>
    <w:p w14:paraId="037DAD86"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776A2A8" w14:textId="7FDEAAAE"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1.农林水支出（类）农业农村（款）事业运行（项）:支出决算数为82.54万元，比上年决算增加6.30万元，增长8.2</w:t>
      </w:r>
      <w:r w:rsidR="008672FE">
        <w:rPr>
          <w:rFonts w:ascii="仿宋_GB2312" w:eastAsia="仿宋_GB2312" w:hint="eastAsia"/>
          <w:sz w:val="32"/>
          <w:szCs w:val="32"/>
        </w:rPr>
        <w:t>6</w:t>
      </w:r>
      <w:r>
        <w:rPr>
          <w:rFonts w:ascii="仿宋_GB2312" w:eastAsia="仿宋_GB2312" w:hint="eastAsia"/>
          <w:sz w:val="32"/>
          <w:szCs w:val="32"/>
        </w:rPr>
        <w:t>%，主要原因是：本年人员调资，</w:t>
      </w:r>
      <w:r w:rsidR="00227367">
        <w:rPr>
          <w:rFonts w:ascii="仿宋_GB2312" w:eastAsia="仿宋_GB2312" w:hint="eastAsia"/>
          <w:sz w:val="32"/>
          <w:szCs w:val="32"/>
        </w:rPr>
        <w:t>相应</w:t>
      </w:r>
      <w:r>
        <w:rPr>
          <w:rFonts w:ascii="仿宋_GB2312" w:eastAsia="仿宋_GB2312" w:hint="eastAsia"/>
          <w:sz w:val="32"/>
          <w:szCs w:val="32"/>
        </w:rPr>
        <w:t>工资</w:t>
      </w:r>
      <w:r w:rsidR="00227367">
        <w:rPr>
          <w:rFonts w:ascii="仿宋_GB2312" w:eastAsia="仿宋_GB2312" w:hint="eastAsia"/>
          <w:sz w:val="32"/>
          <w:szCs w:val="32"/>
        </w:rPr>
        <w:t>、津贴补贴、奖金等人员经费</w:t>
      </w:r>
      <w:r>
        <w:rPr>
          <w:rFonts w:ascii="仿宋_GB2312" w:eastAsia="仿宋_GB2312" w:hint="eastAsia"/>
          <w:sz w:val="32"/>
          <w:szCs w:val="32"/>
        </w:rPr>
        <w:t>增加。</w:t>
      </w:r>
    </w:p>
    <w:p w14:paraId="6D4ACA9D" w14:textId="316C4551"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2.节能环保支出（类）自然生态保护（款）草原生态修复治理（项）:支出决算数为193.71万元，比上年决算增加17.</w:t>
      </w:r>
      <w:r w:rsidR="008672FE">
        <w:rPr>
          <w:rFonts w:ascii="仿宋_GB2312" w:eastAsia="仿宋_GB2312" w:hint="eastAsia"/>
          <w:sz w:val="32"/>
          <w:szCs w:val="32"/>
        </w:rPr>
        <w:t>60</w:t>
      </w:r>
      <w:r>
        <w:rPr>
          <w:rFonts w:ascii="仿宋_GB2312" w:eastAsia="仿宋_GB2312" w:hint="eastAsia"/>
          <w:sz w:val="32"/>
          <w:szCs w:val="32"/>
        </w:rPr>
        <w:t>万元，增长9.99%，主要原因是：</w:t>
      </w:r>
      <w:r w:rsidR="00227367">
        <w:rPr>
          <w:rFonts w:ascii="仿宋_GB2312" w:eastAsia="仿宋_GB2312" w:hint="eastAsia"/>
          <w:sz w:val="32"/>
          <w:szCs w:val="32"/>
        </w:rPr>
        <w:t>单位本年</w:t>
      </w:r>
      <w:r>
        <w:rPr>
          <w:rFonts w:ascii="仿宋_GB2312" w:eastAsia="仿宋_GB2312" w:hint="eastAsia"/>
          <w:sz w:val="32"/>
          <w:szCs w:val="32"/>
        </w:rPr>
        <w:t>林业草原生态恢复</w:t>
      </w:r>
      <w:r w:rsidR="00227367">
        <w:rPr>
          <w:rFonts w:ascii="仿宋_GB2312" w:eastAsia="仿宋_GB2312" w:hint="eastAsia"/>
          <w:sz w:val="32"/>
          <w:szCs w:val="32"/>
        </w:rPr>
        <w:t>项目</w:t>
      </w:r>
      <w:r>
        <w:rPr>
          <w:rFonts w:ascii="仿宋_GB2312" w:eastAsia="仿宋_GB2312" w:hint="eastAsia"/>
          <w:sz w:val="32"/>
          <w:szCs w:val="32"/>
        </w:rPr>
        <w:t>资金增加。</w:t>
      </w:r>
    </w:p>
    <w:p w14:paraId="694BE317" w14:textId="5E44F40D"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3.住房保障支出（类）住房改革支出（款）住房公积金（项）:支出决算数为5.51万元，比上年决算增加3.8</w:t>
      </w:r>
      <w:r w:rsidR="008672FE">
        <w:rPr>
          <w:rFonts w:ascii="仿宋_GB2312" w:eastAsia="仿宋_GB2312" w:hint="eastAsia"/>
          <w:sz w:val="32"/>
          <w:szCs w:val="32"/>
        </w:rPr>
        <w:t>5</w:t>
      </w:r>
      <w:r>
        <w:rPr>
          <w:rFonts w:ascii="仿宋_GB2312" w:eastAsia="仿宋_GB2312" w:hint="eastAsia"/>
          <w:sz w:val="32"/>
          <w:szCs w:val="32"/>
        </w:rPr>
        <w:t>万元，增长232.93%，主要原因是：</w:t>
      </w:r>
      <w:r w:rsidR="00227367">
        <w:rPr>
          <w:rFonts w:ascii="仿宋_GB2312" w:eastAsia="仿宋_GB2312" w:hint="eastAsia"/>
          <w:sz w:val="32"/>
          <w:szCs w:val="32"/>
        </w:rPr>
        <w:t>单位本年</w:t>
      </w:r>
      <w:r>
        <w:rPr>
          <w:rFonts w:ascii="仿宋_GB2312" w:eastAsia="仿宋_GB2312" w:hint="eastAsia"/>
          <w:sz w:val="32"/>
          <w:szCs w:val="32"/>
        </w:rPr>
        <w:t>人员</w:t>
      </w:r>
      <w:r w:rsidR="00227367">
        <w:rPr>
          <w:rFonts w:ascii="仿宋_GB2312" w:eastAsia="仿宋_GB2312" w:hint="eastAsia"/>
          <w:sz w:val="32"/>
          <w:szCs w:val="32"/>
        </w:rPr>
        <w:t>经费增加</w:t>
      </w:r>
      <w:r>
        <w:rPr>
          <w:rFonts w:ascii="仿宋_GB2312" w:eastAsia="仿宋_GB2312" w:hint="eastAsia"/>
          <w:sz w:val="32"/>
          <w:szCs w:val="32"/>
        </w:rPr>
        <w:t>，</w:t>
      </w:r>
      <w:r w:rsidR="00227367">
        <w:rPr>
          <w:rFonts w:ascii="仿宋_GB2312" w:eastAsia="仿宋_GB2312" w:hint="eastAsia"/>
          <w:sz w:val="32"/>
          <w:szCs w:val="32"/>
        </w:rPr>
        <w:t>相应</w:t>
      </w:r>
      <w:r>
        <w:rPr>
          <w:rFonts w:ascii="仿宋_GB2312" w:eastAsia="仿宋_GB2312" w:hint="eastAsia"/>
          <w:sz w:val="32"/>
          <w:szCs w:val="32"/>
        </w:rPr>
        <w:t>公积金</w:t>
      </w:r>
      <w:r w:rsidR="00227367">
        <w:rPr>
          <w:rFonts w:ascii="仿宋_GB2312" w:eastAsia="仿宋_GB2312" w:hint="eastAsia"/>
          <w:sz w:val="32"/>
          <w:szCs w:val="32"/>
        </w:rPr>
        <w:t>缴费</w:t>
      </w:r>
      <w:r>
        <w:rPr>
          <w:rFonts w:ascii="仿宋_GB2312" w:eastAsia="仿宋_GB2312" w:hint="eastAsia"/>
          <w:sz w:val="32"/>
          <w:szCs w:val="32"/>
        </w:rPr>
        <w:t>增加。</w:t>
      </w:r>
    </w:p>
    <w:p w14:paraId="1F53E584"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4.社会保障和就业支出（类）抚恤（款）死亡抚恤（项）:支出决算数为1.15万元，比上年决算增加0.00万元，增长0.00%，主要原因是：与上年变动无差异。</w:t>
      </w:r>
    </w:p>
    <w:p w14:paraId="7098AB9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5.社会保障和就业支出（类）行政事业单位养老支出（款）事业单位离退休（项）:支出决算数为2.77万元，比上年决算增加2.77万元，增长100%，主要原因是：本年发放退休人员采暖费及独生子女费。</w:t>
      </w:r>
    </w:p>
    <w:p w14:paraId="2BFC2B0F" w14:textId="0967C91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6.农林水支出（类）其他农林水支出（款）其他农林水支出（项）:支出决算数为4.20万元，比上年决算增加4.20</w:t>
      </w:r>
      <w:r>
        <w:rPr>
          <w:rFonts w:ascii="仿宋_GB2312" w:eastAsia="仿宋_GB2312" w:hint="eastAsia"/>
          <w:sz w:val="32"/>
          <w:szCs w:val="32"/>
        </w:rPr>
        <w:lastRenderedPageBreak/>
        <w:t>万元，增长100%，主要原因是：昌州财建（2021）27号关于拨付2021年草原植被恢复</w:t>
      </w:r>
      <w:r w:rsidR="00227367">
        <w:rPr>
          <w:rFonts w:ascii="仿宋_GB2312" w:eastAsia="仿宋_GB2312" w:hint="eastAsia"/>
          <w:sz w:val="32"/>
          <w:szCs w:val="32"/>
        </w:rPr>
        <w:t>项目</w:t>
      </w:r>
      <w:r>
        <w:rPr>
          <w:rFonts w:ascii="仿宋_GB2312" w:eastAsia="仿宋_GB2312" w:hint="eastAsia"/>
          <w:sz w:val="32"/>
          <w:szCs w:val="32"/>
        </w:rPr>
        <w:t>费</w:t>
      </w:r>
      <w:r w:rsidR="00227367">
        <w:rPr>
          <w:rFonts w:ascii="仿宋_GB2312" w:eastAsia="仿宋_GB2312" w:hint="eastAsia"/>
          <w:sz w:val="32"/>
          <w:szCs w:val="32"/>
        </w:rPr>
        <w:t>用</w:t>
      </w:r>
      <w:r>
        <w:rPr>
          <w:rFonts w:ascii="仿宋_GB2312" w:eastAsia="仿宋_GB2312" w:hint="eastAsia"/>
          <w:sz w:val="32"/>
          <w:szCs w:val="32"/>
        </w:rPr>
        <w:t>增加。</w:t>
      </w:r>
    </w:p>
    <w:p w14:paraId="040C9886" w14:textId="356DB506"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7.农林水支出（类）农业农村（款）行政运行（项）:支出决算数为146.82万元，比上年决算增加146.82万元，增长100%，主要原因是：林业和草原生态修复</w:t>
      </w:r>
      <w:r w:rsidR="00227367">
        <w:rPr>
          <w:rFonts w:ascii="仿宋_GB2312" w:eastAsia="仿宋_GB2312" w:hint="eastAsia"/>
          <w:sz w:val="32"/>
          <w:szCs w:val="32"/>
        </w:rPr>
        <w:t>项目经费</w:t>
      </w:r>
      <w:r>
        <w:rPr>
          <w:rFonts w:ascii="仿宋_GB2312" w:eastAsia="仿宋_GB2312" w:hint="eastAsia"/>
          <w:sz w:val="32"/>
          <w:szCs w:val="32"/>
        </w:rPr>
        <w:t>增加。</w:t>
      </w:r>
    </w:p>
    <w:p w14:paraId="7243F763" w14:textId="4CC66A2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8.农林水支出（类）林业和草原（款）其他林业和草原支出（项）:支出决算数为400.67万元，比上年决算增加400.67万元，增长100%，主要原因是：本年中央林业改革发展</w:t>
      </w:r>
      <w:r w:rsidR="00227367">
        <w:rPr>
          <w:rFonts w:ascii="仿宋_GB2312" w:eastAsia="仿宋_GB2312" w:hint="eastAsia"/>
          <w:sz w:val="32"/>
          <w:szCs w:val="32"/>
        </w:rPr>
        <w:t>项目</w:t>
      </w:r>
      <w:r>
        <w:rPr>
          <w:rFonts w:ascii="仿宋_GB2312" w:eastAsia="仿宋_GB2312" w:hint="eastAsia"/>
          <w:sz w:val="32"/>
          <w:szCs w:val="32"/>
        </w:rPr>
        <w:t>资金增加。</w:t>
      </w:r>
    </w:p>
    <w:p w14:paraId="34767F56" w14:textId="1795474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9.社会保障和就业支出（类）行政事业单位养老支出（款）机关事业单位基本养老保险缴费支出（项）:支出决算数为7.02万元，比上年决算减少0.93万元，下降11.</w:t>
      </w:r>
      <w:r w:rsidR="008672FE">
        <w:rPr>
          <w:rFonts w:ascii="仿宋_GB2312" w:eastAsia="仿宋_GB2312" w:hint="eastAsia"/>
          <w:sz w:val="32"/>
          <w:szCs w:val="32"/>
        </w:rPr>
        <w:t>70</w:t>
      </w:r>
      <w:r>
        <w:rPr>
          <w:rFonts w:ascii="仿宋_GB2312" w:eastAsia="仿宋_GB2312" w:hint="eastAsia"/>
          <w:sz w:val="32"/>
          <w:szCs w:val="32"/>
        </w:rPr>
        <w:t>%，主要原因是：新进编人员社保基数较低，较上年减少。</w:t>
      </w:r>
    </w:p>
    <w:p w14:paraId="40FFCF26" w14:textId="37466CC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10.社会保障和就业支出（类）行政事业单位养老支出（款）机关事业单位职业年金缴费支出（项）:支出决算数为0.00万元，比上年决算减少5.05万元，下降100%，主要原因是：</w:t>
      </w:r>
      <w:r w:rsidR="00C96728">
        <w:rPr>
          <w:rFonts w:ascii="仿宋_GB2312" w:eastAsia="仿宋_GB2312" w:hint="eastAsia"/>
          <w:sz w:val="32"/>
          <w:szCs w:val="32"/>
        </w:rPr>
        <w:t>单位本年无</w:t>
      </w:r>
      <w:r w:rsidR="003D105C">
        <w:rPr>
          <w:rFonts w:ascii="仿宋_GB2312" w:eastAsia="仿宋_GB2312" w:hint="eastAsia"/>
          <w:sz w:val="32"/>
          <w:szCs w:val="32"/>
        </w:rPr>
        <w:t>人员退休，减少一次性职业年金支出</w:t>
      </w:r>
      <w:r>
        <w:rPr>
          <w:rFonts w:ascii="仿宋_GB2312" w:eastAsia="仿宋_GB2312" w:hint="eastAsia"/>
          <w:sz w:val="32"/>
          <w:szCs w:val="32"/>
        </w:rPr>
        <w:t>。</w:t>
      </w:r>
    </w:p>
    <w:p w14:paraId="30BAB488" w14:textId="4738BDF5"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11.其他支出（类）其他支出（款）其他支出（项）:支出决算数为0.00万元，比上年决算减少1.12万元，下降100%，主要原因是：</w:t>
      </w:r>
      <w:r w:rsidR="00C96728">
        <w:rPr>
          <w:rFonts w:ascii="仿宋_GB2312" w:eastAsia="仿宋_GB2312" w:hint="eastAsia"/>
          <w:sz w:val="32"/>
          <w:szCs w:val="32"/>
        </w:rPr>
        <w:t>单位本年</w:t>
      </w:r>
      <w:r w:rsidR="003D105C">
        <w:rPr>
          <w:rFonts w:ascii="仿宋_GB2312" w:eastAsia="仿宋_GB2312" w:hint="eastAsia"/>
          <w:sz w:val="32"/>
          <w:szCs w:val="32"/>
        </w:rPr>
        <w:t>减少补发上年绩效奖支出</w:t>
      </w:r>
      <w:r>
        <w:rPr>
          <w:rFonts w:ascii="仿宋_GB2312" w:eastAsia="仿宋_GB2312" w:hint="eastAsia"/>
          <w:sz w:val="32"/>
          <w:szCs w:val="32"/>
        </w:rPr>
        <w:t>。</w:t>
      </w:r>
    </w:p>
    <w:p w14:paraId="05AC8313"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62D362F"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2023年度一般公共预算财政拨款基本支出245.81万元，</w:t>
      </w:r>
      <w:r>
        <w:rPr>
          <w:rFonts w:ascii="仿宋_GB2312" w:eastAsia="仿宋_GB2312" w:hint="eastAsia"/>
          <w:sz w:val="32"/>
          <w:szCs w:val="32"/>
        </w:rPr>
        <w:lastRenderedPageBreak/>
        <w:t>其中：人员经费80.36万元，包括：基本工资、津贴补贴、奖金、机关事业单位基本养老保险缴费、职工基本医疗保险缴费、其他社会保障缴费、住房公积金、退休费、生活补助、奖励金。</w:t>
      </w:r>
    </w:p>
    <w:p w14:paraId="4F84917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公用经费165.45万元，包括：办公费、水费、邮电费、取暖费、差旅费、委托业务费、公务用车运行维护费。</w:t>
      </w:r>
    </w:p>
    <w:p w14:paraId="2BCCC398"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9785763" w14:textId="4D121DD1"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“三公”经费支出0.58万元，</w:t>
      </w:r>
      <w:r>
        <w:rPr>
          <w:rFonts w:ascii="仿宋_GB2312" w:eastAsia="仿宋_GB2312" w:hint="eastAsia"/>
          <w:sz w:val="32"/>
          <w:szCs w:val="32"/>
        </w:rPr>
        <w:t>比上年</w:t>
      </w:r>
      <w:r>
        <w:rPr>
          <w:rFonts w:ascii="仿宋_GB2312" w:eastAsia="仿宋_GB2312" w:hint="eastAsia"/>
          <w:sz w:val="32"/>
          <w:szCs w:val="32"/>
          <w:lang w:val="zh-CN"/>
        </w:rPr>
        <w:t>增加0.58万元，</w:t>
      </w:r>
      <w:r>
        <w:rPr>
          <w:rFonts w:ascii="仿宋_GB2312" w:eastAsia="仿宋_GB2312" w:hint="eastAsia"/>
          <w:sz w:val="32"/>
          <w:szCs w:val="32"/>
        </w:rPr>
        <w:t>增长100.00%,</w:t>
      </w:r>
      <w:r>
        <w:rPr>
          <w:rFonts w:ascii="仿宋_GB2312" w:eastAsia="仿宋_GB2312" w:hint="eastAsia"/>
          <w:sz w:val="32"/>
          <w:szCs w:val="32"/>
          <w:lang w:val="zh-CN"/>
        </w:rPr>
        <w:t>主要原因是：本年车辆</w:t>
      </w:r>
      <w:r w:rsidR="00C96728">
        <w:rPr>
          <w:rFonts w:ascii="仿宋_GB2312" w:eastAsia="仿宋_GB2312" w:hint="eastAsia"/>
          <w:sz w:val="32"/>
          <w:szCs w:val="32"/>
          <w:lang w:val="zh-CN"/>
        </w:rPr>
        <w:t>出行次数</w:t>
      </w:r>
      <w:r>
        <w:rPr>
          <w:rFonts w:ascii="仿宋_GB2312" w:eastAsia="仿宋_GB2312" w:hint="eastAsia"/>
          <w:sz w:val="32"/>
          <w:szCs w:val="32"/>
          <w:lang w:val="zh-CN"/>
        </w:rPr>
        <w:t>增加，</w:t>
      </w:r>
      <w:r w:rsidR="00C96728">
        <w:rPr>
          <w:rFonts w:ascii="仿宋_GB2312" w:eastAsia="仿宋_GB2312" w:hint="eastAsia"/>
          <w:sz w:val="32"/>
          <w:szCs w:val="32"/>
          <w:lang w:val="zh-CN"/>
        </w:rPr>
        <w:t>车辆燃油费、维修费</w:t>
      </w:r>
      <w:r>
        <w:rPr>
          <w:rFonts w:ascii="仿宋_GB2312" w:eastAsia="仿宋_GB2312" w:hint="eastAsia"/>
          <w:sz w:val="32"/>
          <w:szCs w:val="32"/>
          <w:lang w:val="zh-CN"/>
        </w:rPr>
        <w:t>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主要原因是：本年单位无此项经费；公务用车购置及运行维护费支出0.58万元，占100.00%，比上年增加0.58万元，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C96728">
        <w:rPr>
          <w:rFonts w:ascii="仿宋_GB2312" w:eastAsia="仿宋_GB2312" w:hint="eastAsia"/>
          <w:sz w:val="32"/>
          <w:szCs w:val="32"/>
          <w:lang w:val="zh-CN"/>
        </w:rPr>
        <w:t>本年车辆出行次数增加，车辆燃油费、维修费增加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w:t>
      </w:r>
    </w:p>
    <w:p w14:paraId="48BD6182" w14:textId="7777777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4528B53" w14:textId="72E3B5EE"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因公出国（境）费支出0.00万元，开支内容包括本年单位无此项经费。单位全年安排的因公出国（境）团组0个，因公出国（境）0人次。</w:t>
      </w:r>
    </w:p>
    <w:p w14:paraId="0DB7B37E" w14:textId="0BC15B3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公务用车购置及运行维护费0.58万元，其中：公务用</w:t>
      </w:r>
      <w:r>
        <w:rPr>
          <w:rFonts w:ascii="仿宋_GB2312" w:eastAsia="仿宋_GB2312" w:hint="eastAsia"/>
          <w:sz w:val="32"/>
          <w:szCs w:val="32"/>
          <w:lang w:val="zh-CN"/>
        </w:rPr>
        <w:lastRenderedPageBreak/>
        <w:t>车购置费0.00万元，公务用车运行维护费0.58万元。公务用车运行维护费开支内容包括公务用车燃油费、车辆维修维护费、保险费、过路费等。公务用车购置数0辆，公务用车保有量1辆。国有资产占用情况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D105C" w:rsidRPr="003D105C">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5B6D8F0F" w14:textId="2CD949C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公务接待费0.00万元，开支内容包括本年单位无此项经费。单位全年安排的国内公务接待0批次，0人次。</w:t>
      </w:r>
    </w:p>
    <w:p w14:paraId="15162BB0" w14:textId="79E1229B"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w:t>
      </w:r>
    </w:p>
    <w:p w14:paraId="0E96AE5F" w14:textId="77777777" w:rsidR="006704C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AC252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2023年度政府性基金预算财政拨款收入总计82.87万元，其中：年初结转和结余0.00万元，本年收入82.87万</w:t>
      </w:r>
      <w:r>
        <w:rPr>
          <w:rFonts w:ascii="仿宋_GB2312" w:eastAsia="仿宋_GB2312" w:hint="eastAsia"/>
          <w:sz w:val="32"/>
          <w:szCs w:val="32"/>
        </w:rPr>
        <w:lastRenderedPageBreak/>
        <w:t>元。政府性基金预算财政拨款支出总计82.87万元，其中：年末结转和结余0.00万元，本年支出82.87万元。</w:t>
      </w:r>
    </w:p>
    <w:p w14:paraId="781A8E00" w14:textId="1A847CC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政府性基金预算财政拨款收入支出与上年相比，增加82.87万元,增长100.00%,主要原因是：</w:t>
      </w:r>
      <w:r w:rsidR="00C96728">
        <w:rPr>
          <w:rFonts w:ascii="仿宋_GB2312" w:eastAsia="仿宋_GB2312" w:hint="eastAsia"/>
          <w:sz w:val="32"/>
          <w:szCs w:val="32"/>
        </w:rPr>
        <w:t>单位</w:t>
      </w:r>
      <w:r>
        <w:rPr>
          <w:rFonts w:ascii="仿宋_GB2312" w:eastAsia="仿宋_GB2312" w:hint="eastAsia"/>
          <w:sz w:val="32"/>
          <w:szCs w:val="32"/>
        </w:rPr>
        <w:t>本年草原生态修复</w:t>
      </w:r>
      <w:r w:rsidR="00C96728">
        <w:rPr>
          <w:rFonts w:ascii="仿宋_GB2312" w:eastAsia="仿宋_GB2312" w:hint="eastAsia"/>
          <w:sz w:val="32"/>
          <w:szCs w:val="32"/>
        </w:rPr>
        <w:t>项目</w:t>
      </w:r>
      <w:r>
        <w:rPr>
          <w:rFonts w:ascii="仿宋_GB2312" w:eastAsia="仿宋_GB2312" w:hint="eastAsia"/>
          <w:sz w:val="32"/>
          <w:szCs w:val="32"/>
        </w:rPr>
        <w:t>资金增加。与年初预算相比,年初预算数0.00万元，决算数82.87万元，预决算差异率100.00%，主要原因是：本年追加草原生态修复项目资金。</w:t>
      </w:r>
    </w:p>
    <w:p w14:paraId="2DC69CB9"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政府性基金预算财政拨款支出82.87万元。</w:t>
      </w:r>
    </w:p>
    <w:p w14:paraId="37772F76" w14:textId="67B41411"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1.城乡社区支出（类）国有土地使用权出让收入安排的支出（款）农业农村生态环境支出（项）:支出决算数为82.87万元，比上年决算增加82.87万元，增长100%，主要原因是：本年草原生态修复项目资金</w:t>
      </w:r>
      <w:r w:rsidR="00C96728">
        <w:rPr>
          <w:rFonts w:ascii="仿宋_GB2312" w:eastAsia="仿宋_GB2312" w:hint="eastAsia"/>
          <w:sz w:val="32"/>
          <w:szCs w:val="32"/>
        </w:rPr>
        <w:t>增加</w:t>
      </w:r>
      <w:r>
        <w:rPr>
          <w:rFonts w:ascii="仿宋_GB2312" w:eastAsia="仿宋_GB2312" w:hint="eastAsia"/>
          <w:sz w:val="32"/>
          <w:szCs w:val="32"/>
        </w:rPr>
        <w:t>。</w:t>
      </w:r>
    </w:p>
    <w:p w14:paraId="72649BEE"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8BEE00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DA5ACBB" w14:textId="77777777" w:rsidR="006704C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7E07E9E" w14:textId="77777777" w:rsidR="006704C2"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663077" w14:textId="1D2D89E8" w:rsidR="006704C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2023年度木垒哈萨克自治县草原工作站（事业单位）公用经费支出165.45万元，比上年增加163.32万元，增长</w:t>
      </w:r>
      <w:r w:rsidR="007C34EF">
        <w:rPr>
          <w:rFonts w:ascii="仿宋_GB2312" w:eastAsia="仿宋_GB2312" w:hAnsi="仿宋_GB2312" w:cs="仿宋_GB2312" w:hint="eastAsia"/>
          <w:sz w:val="32"/>
          <w:szCs w:val="32"/>
          <w:lang w:val="zh-CN"/>
        </w:rPr>
        <w:t>7,667.61</w:t>
      </w:r>
      <w:r>
        <w:rPr>
          <w:rFonts w:ascii="仿宋_GB2312" w:eastAsia="仿宋_GB2312" w:hint="eastAsia"/>
          <w:sz w:val="32"/>
          <w:szCs w:val="32"/>
        </w:rPr>
        <w:t>%，主要原因是：</w:t>
      </w:r>
      <w:r w:rsidR="00C96728">
        <w:rPr>
          <w:rFonts w:ascii="仿宋_GB2312" w:eastAsia="仿宋_GB2312" w:hint="eastAsia"/>
          <w:sz w:val="32"/>
          <w:szCs w:val="32"/>
        </w:rPr>
        <w:t>单位本年办公费、委托业务费、公务用车运行维护费增加</w:t>
      </w:r>
      <w:r>
        <w:rPr>
          <w:rFonts w:ascii="仿宋_GB2312" w:eastAsia="仿宋_GB2312" w:hint="eastAsia"/>
          <w:sz w:val="32"/>
          <w:szCs w:val="32"/>
        </w:rPr>
        <w:t>。</w:t>
      </w:r>
    </w:p>
    <w:p w14:paraId="4D5E207E" w14:textId="77777777" w:rsidR="006704C2"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2F1164C1" w14:textId="1A2D7E0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2023年度政府采购支出总额22.05万元，其中：政府采购货物支出18.03万元、政府采购工程支出0.00万元、政府采购服务支出4.0</w:t>
      </w:r>
      <w:r w:rsidR="00C96728">
        <w:rPr>
          <w:rFonts w:ascii="仿宋_GB2312" w:eastAsia="仿宋_GB2312" w:hint="eastAsia"/>
          <w:sz w:val="32"/>
          <w:szCs w:val="32"/>
        </w:rPr>
        <w:t>2</w:t>
      </w:r>
      <w:r>
        <w:rPr>
          <w:rFonts w:ascii="仿宋_GB2312" w:eastAsia="仿宋_GB2312" w:hint="eastAsia"/>
          <w:sz w:val="32"/>
          <w:szCs w:val="32"/>
        </w:rPr>
        <w:t>万元。</w:t>
      </w:r>
    </w:p>
    <w:p w14:paraId="495317EE"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授予中小企业合同金额22.05万元，占政府采购支出总额的100.00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，其中：授予小微企业合同金额18.03万元，占政府采购支出总额的81.80</w:t>
      </w:r>
      <w:r>
        <w:rPr>
          <w:rFonts w:ascii="仿宋_GB2312" w:eastAsia="仿宋_GB2312"/>
          <w:sz w:val="32"/>
          <w:szCs w:val="32"/>
        </w:rPr>
        <w:t>%</w:t>
      </w:r>
      <w:r>
        <w:rPr>
          <w:rFonts w:ascii="仿宋_GB2312" w:eastAsia="仿宋_GB2312" w:hint="eastAsia"/>
          <w:sz w:val="32"/>
          <w:szCs w:val="32"/>
        </w:rPr>
        <w:t>。</w:t>
      </w:r>
    </w:p>
    <w:p w14:paraId="13C9DACF" w14:textId="77777777" w:rsidR="006704C2"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1DBE667"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36.85万元，房屋0.00方米，价值0.00万元。车辆1辆，价值8.90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C22E7E5" w14:textId="77777777" w:rsidR="006704C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226F3F0" w14:textId="5E4784A3"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927.27</w:t>
      </w:r>
      <w:r>
        <w:rPr>
          <w:rFonts w:ascii="仿宋_GB2312" w:eastAsia="仿宋_GB2312" w:hint="eastAsia"/>
          <w:sz w:val="32"/>
          <w:szCs w:val="32"/>
        </w:rPr>
        <w:t>万元，实际执行总额</w:t>
      </w:r>
      <w:r>
        <w:rPr>
          <w:rFonts w:ascii="仿宋_GB2312" w:eastAsia="仿宋_GB2312"/>
          <w:sz w:val="32"/>
          <w:szCs w:val="32"/>
        </w:rPr>
        <w:t>927.27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w:t>
      </w:r>
      <w:r>
        <w:rPr>
          <w:rFonts w:ascii="仿宋_GB2312" w:eastAsia="仿宋_GB2312"/>
          <w:sz w:val="32"/>
          <w:szCs w:val="32"/>
        </w:rPr>
        <w:t>201.00</w:t>
      </w:r>
      <w:r>
        <w:rPr>
          <w:rFonts w:ascii="仿宋_GB2312" w:eastAsia="仿宋_GB2312" w:hint="eastAsia"/>
          <w:sz w:val="32"/>
          <w:szCs w:val="32"/>
        </w:rPr>
        <w:t>万元，全年执行数</w:t>
      </w:r>
      <w:r>
        <w:rPr>
          <w:rFonts w:ascii="仿宋_GB2312" w:eastAsia="仿宋_GB2312"/>
          <w:sz w:val="32"/>
          <w:szCs w:val="32"/>
        </w:rPr>
        <w:t>201.00</w:t>
      </w:r>
      <w:r>
        <w:rPr>
          <w:rFonts w:ascii="仿宋_GB2312" w:eastAsia="仿宋_GB2312" w:hint="eastAsia"/>
          <w:sz w:val="32"/>
          <w:szCs w:val="32"/>
        </w:rPr>
        <w:t>万元。预算绩效管理取得的成效：一是</w:t>
      </w:r>
      <w:r>
        <w:rPr>
          <w:rFonts w:ascii="仿宋_GB2312" w:eastAsia="仿宋_GB2312" w:hAnsi="宋体" w:hint="eastAsia"/>
          <w:bCs/>
          <w:sz w:val="32"/>
          <w:szCs w:val="32"/>
        </w:rPr>
        <w:t>完成草原围栏建设</w:t>
      </w:r>
      <w:r>
        <w:rPr>
          <w:rFonts w:ascii="仿宋_GB2312" w:eastAsia="仿宋_GB2312" w:hint="eastAsia"/>
          <w:sz w:val="32"/>
          <w:szCs w:val="32"/>
        </w:rPr>
        <w:t>；二是</w:t>
      </w:r>
      <w:r>
        <w:rPr>
          <w:rFonts w:ascii="仿宋_GB2312" w:eastAsia="仿宋_GB2312" w:hAnsi="宋体" w:hint="eastAsia"/>
          <w:bCs/>
          <w:sz w:val="32"/>
          <w:szCs w:val="32"/>
        </w:rPr>
        <w:t>草原保护建设</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w:t>
      </w:r>
      <w:r>
        <w:rPr>
          <w:rFonts w:ascii="仿宋_GB2312" w:eastAsia="仿宋_GB2312" w:hint="eastAsia"/>
          <w:sz w:val="32"/>
          <w:szCs w:val="32"/>
        </w:rPr>
        <w:t>；二是</w:t>
      </w:r>
      <w:r>
        <w:rPr>
          <w:rFonts w:ascii="仿宋_GB2312" w:eastAsia="仿宋_GB2312" w:hAnsi="宋体" w:hint="eastAsia"/>
          <w:bCs/>
          <w:sz w:val="32"/>
          <w:szCs w:val="32"/>
        </w:rPr>
        <w:t>因野</w:t>
      </w:r>
      <w:r>
        <w:rPr>
          <w:rFonts w:ascii="仿宋_GB2312" w:eastAsia="仿宋_GB2312" w:hAnsi="宋体" w:hint="eastAsia"/>
          <w:bCs/>
          <w:sz w:val="32"/>
          <w:szCs w:val="32"/>
        </w:rPr>
        <w:lastRenderedPageBreak/>
        <w:t>外工作的难度和工作经费缺少问题，全县草原保护建设和草原生态改善没达到预期完成率</w:t>
      </w:r>
      <w:r>
        <w:rPr>
          <w:rFonts w:ascii="仿宋_GB2312" w:eastAsia="仿宋_GB2312" w:hint="eastAsia"/>
          <w:sz w:val="32"/>
          <w:szCs w:val="32"/>
        </w:rPr>
        <w:t>。下一步改进措施：一是做好预算细化</w:t>
      </w:r>
      <w:r>
        <w:rPr>
          <w:rFonts w:ascii="仿宋_GB2312" w:eastAsia="仿宋_GB2312" w:hAnsi="宋体" w:hint="eastAsia"/>
          <w:bCs/>
          <w:sz w:val="32"/>
          <w:szCs w:val="32"/>
        </w:rPr>
        <w:t>对相关人员加强培训</w:t>
      </w:r>
      <w:r>
        <w:rPr>
          <w:rFonts w:ascii="仿宋_GB2312" w:eastAsia="仿宋_GB2312" w:hint="eastAsia"/>
          <w:sz w:val="32"/>
          <w:szCs w:val="32"/>
        </w:rPr>
        <w:t>；二是合理安排野外作业人员工作。具体项目自评情况附绩效自评表及自评报告。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341"/>
        <w:gridCol w:w="1382"/>
        <w:gridCol w:w="1094"/>
        <w:gridCol w:w="1139"/>
        <w:gridCol w:w="827"/>
        <w:gridCol w:w="755"/>
        <w:gridCol w:w="486"/>
      </w:tblGrid>
      <w:tr w:rsidR="006704C2" w14:paraId="4A9A8CE7" w14:textId="77777777">
        <w:trPr>
          <w:trHeight w:val="522"/>
        </w:trPr>
        <w:tc>
          <w:tcPr>
            <w:tcW w:w="5000" w:type="pct"/>
            <w:gridSpan w:val="8"/>
            <w:shd w:val="clear" w:color="auto" w:fill="auto"/>
            <w:noWrap/>
            <w:vAlign w:val="center"/>
          </w:tcPr>
          <w:p w14:paraId="3B691D6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6704C2" w14:paraId="293BBA56" w14:textId="77777777">
        <w:trPr>
          <w:trHeight w:val="360"/>
        </w:trPr>
        <w:tc>
          <w:tcPr>
            <w:tcW w:w="5000" w:type="pct"/>
            <w:gridSpan w:val="8"/>
            <w:shd w:val="clear" w:color="auto" w:fill="auto"/>
            <w:noWrap/>
            <w:vAlign w:val="center"/>
          </w:tcPr>
          <w:p w14:paraId="261C5D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0A151C34" w14:textId="77777777" w:rsidTr="007C34EF">
        <w:trPr>
          <w:trHeight w:val="660"/>
        </w:trPr>
        <w:tc>
          <w:tcPr>
            <w:tcW w:w="879" w:type="pct"/>
            <w:shd w:val="clear" w:color="auto" w:fill="auto"/>
            <w:noWrap/>
            <w:vAlign w:val="center"/>
          </w:tcPr>
          <w:p w14:paraId="73684F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121" w:type="pct"/>
            <w:gridSpan w:val="7"/>
            <w:shd w:val="clear" w:color="auto" w:fill="auto"/>
            <w:noWrap/>
            <w:vAlign w:val="center"/>
          </w:tcPr>
          <w:p w14:paraId="03D128C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51765309" w14:textId="77777777" w:rsidTr="007C34EF">
        <w:trPr>
          <w:trHeight w:val="570"/>
        </w:trPr>
        <w:tc>
          <w:tcPr>
            <w:tcW w:w="879" w:type="pct"/>
            <w:vMerge w:val="restart"/>
            <w:shd w:val="clear" w:color="auto" w:fill="auto"/>
            <w:vAlign w:val="center"/>
          </w:tcPr>
          <w:p w14:paraId="66E7B12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787" w:type="pct"/>
            <w:shd w:val="clear" w:color="auto" w:fill="auto"/>
            <w:vAlign w:val="center"/>
          </w:tcPr>
          <w:p w14:paraId="61853E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811" w:type="pct"/>
            <w:shd w:val="clear" w:color="auto" w:fill="auto"/>
            <w:vAlign w:val="center"/>
          </w:tcPr>
          <w:p w14:paraId="4FAA5AB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642" w:type="pct"/>
            <w:shd w:val="clear" w:color="auto" w:fill="auto"/>
            <w:vAlign w:val="center"/>
          </w:tcPr>
          <w:p w14:paraId="556781E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668" w:type="pct"/>
            <w:shd w:val="clear" w:color="auto" w:fill="auto"/>
            <w:vAlign w:val="center"/>
          </w:tcPr>
          <w:p w14:paraId="7EEEC60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85" w:type="pct"/>
            <w:shd w:val="clear" w:color="auto" w:fill="auto"/>
            <w:vAlign w:val="center"/>
          </w:tcPr>
          <w:p w14:paraId="292F7E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1E15598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85" w:type="pct"/>
            <w:shd w:val="clear" w:color="auto" w:fill="auto"/>
            <w:vAlign w:val="center"/>
          </w:tcPr>
          <w:p w14:paraId="341980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97E5A7C" w14:textId="77777777" w:rsidTr="007C34EF">
        <w:trPr>
          <w:trHeight w:val="882"/>
        </w:trPr>
        <w:tc>
          <w:tcPr>
            <w:tcW w:w="879" w:type="pct"/>
            <w:vMerge/>
            <w:vAlign w:val="center"/>
          </w:tcPr>
          <w:p w14:paraId="435C540A"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4810E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811" w:type="pct"/>
            <w:shd w:val="clear" w:color="auto" w:fill="auto"/>
            <w:vAlign w:val="center"/>
          </w:tcPr>
          <w:p w14:paraId="4A7A77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574F7DB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1F96FEA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7EB4C5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43" w:type="pct"/>
            <w:shd w:val="clear" w:color="auto" w:fill="auto"/>
            <w:vAlign w:val="center"/>
          </w:tcPr>
          <w:p w14:paraId="7809C87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5" w:type="pct"/>
            <w:shd w:val="clear" w:color="auto" w:fill="auto"/>
            <w:vAlign w:val="center"/>
          </w:tcPr>
          <w:p w14:paraId="2A5C7EE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704C2" w14:paraId="7CB044D9" w14:textId="77777777" w:rsidTr="007C34EF">
        <w:trPr>
          <w:trHeight w:val="882"/>
        </w:trPr>
        <w:tc>
          <w:tcPr>
            <w:tcW w:w="879" w:type="pct"/>
            <w:vMerge/>
            <w:vAlign w:val="center"/>
          </w:tcPr>
          <w:p w14:paraId="3F6221B6"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32B414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811" w:type="pct"/>
            <w:shd w:val="clear" w:color="auto" w:fill="auto"/>
            <w:vAlign w:val="center"/>
          </w:tcPr>
          <w:p w14:paraId="418B82E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2029AA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7975BE1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509FB2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5AF3F03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5B523B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66319511" w14:textId="77777777" w:rsidTr="007C34EF">
        <w:trPr>
          <w:trHeight w:val="882"/>
        </w:trPr>
        <w:tc>
          <w:tcPr>
            <w:tcW w:w="879" w:type="pct"/>
            <w:vMerge/>
            <w:vAlign w:val="center"/>
          </w:tcPr>
          <w:p w14:paraId="114E44F3"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02B7EB8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811" w:type="pct"/>
            <w:shd w:val="clear" w:color="auto" w:fill="auto"/>
            <w:vAlign w:val="center"/>
          </w:tcPr>
          <w:p w14:paraId="64D37E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20A104C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5C41F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69FF137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99BC4E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67DEB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C34EF" w14:paraId="2971265A" w14:textId="77777777" w:rsidTr="007C34EF">
        <w:trPr>
          <w:trHeight w:val="882"/>
        </w:trPr>
        <w:tc>
          <w:tcPr>
            <w:tcW w:w="879" w:type="pct"/>
            <w:vMerge/>
            <w:vAlign w:val="center"/>
          </w:tcPr>
          <w:p w14:paraId="17308D89" w14:textId="77777777" w:rsidR="007C34EF" w:rsidRDefault="007C34EF" w:rsidP="007C34EF">
            <w:pPr>
              <w:widowControl/>
              <w:jc w:val="left"/>
              <w:rPr>
                <w:rFonts w:ascii="宋体" w:hAnsi="宋体" w:cs="宋体" w:hint="eastAsia"/>
                <w:kern w:val="0"/>
                <w:sz w:val="20"/>
                <w:szCs w:val="20"/>
              </w:rPr>
            </w:pPr>
          </w:p>
        </w:tc>
        <w:tc>
          <w:tcPr>
            <w:tcW w:w="787" w:type="pct"/>
            <w:shd w:val="clear" w:color="auto" w:fill="auto"/>
            <w:vAlign w:val="center"/>
          </w:tcPr>
          <w:p w14:paraId="3CB28AE0"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811" w:type="pct"/>
            <w:shd w:val="clear" w:color="auto" w:fill="auto"/>
            <w:vAlign w:val="center"/>
          </w:tcPr>
          <w:p w14:paraId="28867F81"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2" w:type="pct"/>
            <w:shd w:val="clear" w:color="auto" w:fill="auto"/>
            <w:vAlign w:val="center"/>
          </w:tcPr>
          <w:p w14:paraId="4AD64052"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186E5612"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5BE8A091" w14:textId="6B4ABA2F"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0664C514" w14:textId="5C090DD9"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62E9410B" w14:textId="01F6FC28"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C34EF" w14:paraId="6E769848" w14:textId="77777777" w:rsidTr="007C34EF">
        <w:trPr>
          <w:trHeight w:val="882"/>
        </w:trPr>
        <w:tc>
          <w:tcPr>
            <w:tcW w:w="879" w:type="pct"/>
            <w:vMerge/>
            <w:vAlign w:val="center"/>
          </w:tcPr>
          <w:p w14:paraId="74D91EFD" w14:textId="77777777" w:rsidR="007C34EF" w:rsidRDefault="007C34EF" w:rsidP="007C34EF">
            <w:pPr>
              <w:widowControl/>
              <w:jc w:val="left"/>
              <w:rPr>
                <w:rFonts w:ascii="宋体" w:hAnsi="宋体" w:cs="宋体" w:hint="eastAsia"/>
                <w:kern w:val="0"/>
                <w:sz w:val="20"/>
                <w:szCs w:val="20"/>
              </w:rPr>
            </w:pPr>
          </w:p>
        </w:tc>
        <w:tc>
          <w:tcPr>
            <w:tcW w:w="787" w:type="pct"/>
            <w:shd w:val="clear" w:color="auto" w:fill="auto"/>
            <w:vAlign w:val="center"/>
          </w:tcPr>
          <w:p w14:paraId="4886B703"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811" w:type="pct"/>
            <w:shd w:val="clear" w:color="auto" w:fill="auto"/>
            <w:vAlign w:val="center"/>
          </w:tcPr>
          <w:p w14:paraId="7327C587"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57D1CB45"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26700064"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1CBCC81" w14:textId="19E2BFD6"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27131F9" w14:textId="5E82EE0A"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7B9717BD" w14:textId="1FE23164"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4B1FB64" w14:textId="77777777" w:rsidTr="007C34EF">
        <w:trPr>
          <w:trHeight w:val="882"/>
        </w:trPr>
        <w:tc>
          <w:tcPr>
            <w:tcW w:w="879" w:type="pct"/>
            <w:vMerge/>
            <w:vAlign w:val="center"/>
          </w:tcPr>
          <w:p w14:paraId="56BCEE4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290DF7D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811" w:type="pct"/>
            <w:shd w:val="clear" w:color="auto" w:fill="auto"/>
            <w:vAlign w:val="center"/>
          </w:tcPr>
          <w:p w14:paraId="17E958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2" w:type="pct"/>
            <w:shd w:val="clear" w:color="auto" w:fill="auto"/>
            <w:vAlign w:val="center"/>
          </w:tcPr>
          <w:p w14:paraId="6DEC9AF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29011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2A2D80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2EAC1C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1BD77B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5B75B988" w14:textId="77777777" w:rsidTr="007C34EF">
        <w:trPr>
          <w:trHeight w:val="705"/>
        </w:trPr>
        <w:tc>
          <w:tcPr>
            <w:tcW w:w="879" w:type="pct"/>
            <w:vMerge w:val="restart"/>
            <w:shd w:val="clear" w:color="auto" w:fill="auto"/>
            <w:vAlign w:val="center"/>
          </w:tcPr>
          <w:p w14:paraId="2B05F1F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39" w:type="pct"/>
            <w:gridSpan w:val="3"/>
            <w:shd w:val="clear" w:color="auto" w:fill="auto"/>
            <w:noWrap/>
            <w:vAlign w:val="center"/>
          </w:tcPr>
          <w:p w14:paraId="1E2135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1882" w:type="pct"/>
            <w:gridSpan w:val="4"/>
            <w:shd w:val="clear" w:color="auto" w:fill="auto"/>
            <w:noWrap/>
            <w:vAlign w:val="center"/>
          </w:tcPr>
          <w:p w14:paraId="7B0A76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25D9F29F" w14:textId="77777777" w:rsidTr="007C34EF">
        <w:trPr>
          <w:trHeight w:val="1999"/>
        </w:trPr>
        <w:tc>
          <w:tcPr>
            <w:tcW w:w="879" w:type="pct"/>
            <w:vMerge/>
            <w:vAlign w:val="center"/>
          </w:tcPr>
          <w:p w14:paraId="4E5B7557" w14:textId="77777777" w:rsidR="006704C2" w:rsidRDefault="006704C2">
            <w:pPr>
              <w:widowControl/>
              <w:jc w:val="left"/>
              <w:rPr>
                <w:rFonts w:ascii="宋体" w:hAnsi="宋体" w:cs="宋体" w:hint="eastAsia"/>
                <w:kern w:val="0"/>
                <w:sz w:val="20"/>
                <w:szCs w:val="20"/>
              </w:rPr>
            </w:pPr>
          </w:p>
        </w:tc>
        <w:tc>
          <w:tcPr>
            <w:tcW w:w="2239" w:type="pct"/>
            <w:gridSpan w:val="3"/>
            <w:shd w:val="clear" w:color="auto" w:fill="auto"/>
            <w:vAlign w:val="center"/>
          </w:tcPr>
          <w:p w14:paraId="25B169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目标1：保障草原站各项工作圆满完成。</w:t>
            </w:r>
            <w:r>
              <w:rPr>
                <w:rFonts w:ascii="宋体" w:hAnsi="宋体" w:cs="宋体" w:hint="eastAsia"/>
                <w:kern w:val="0"/>
                <w:sz w:val="20"/>
                <w:szCs w:val="20"/>
              </w:rPr>
              <w:br/>
            </w:r>
            <w:r>
              <w:rPr>
                <w:rFonts w:ascii="宋体" w:hAnsi="宋体" w:cs="宋体" w:hint="eastAsia"/>
                <w:kern w:val="0"/>
                <w:sz w:val="20"/>
                <w:szCs w:val="20"/>
              </w:rPr>
              <w:br/>
              <w:t>目标2：保障全县草原保护建设工作顺利开展，指导农牧民义务保护水平提高。</w:t>
            </w:r>
            <w:r>
              <w:rPr>
                <w:rFonts w:ascii="宋体" w:hAnsi="宋体" w:cs="宋体" w:hint="eastAsia"/>
                <w:kern w:val="0"/>
                <w:sz w:val="20"/>
                <w:szCs w:val="20"/>
              </w:rPr>
              <w:br/>
            </w:r>
            <w:r>
              <w:rPr>
                <w:rFonts w:ascii="宋体" w:hAnsi="宋体" w:cs="宋体" w:hint="eastAsia"/>
                <w:kern w:val="0"/>
                <w:sz w:val="20"/>
                <w:szCs w:val="20"/>
              </w:rPr>
              <w:br/>
              <w:t>目标3：保障持续推进林草恢复和草原生态保护工作。</w:t>
            </w:r>
          </w:p>
        </w:tc>
        <w:tc>
          <w:tcPr>
            <w:tcW w:w="1882" w:type="pct"/>
            <w:gridSpan w:val="4"/>
            <w:shd w:val="clear" w:color="auto" w:fill="auto"/>
            <w:vAlign w:val="center"/>
          </w:tcPr>
          <w:p w14:paraId="223351E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截止本次自评节点，我单位已完成了蝗虫鼠害防治4次，完成草原围栏建设10公里。保障了全县草原保护建设工作顺利开展，指导了农牧民义务保护水平提高。持续推进了林草恢复和草原生态保护工作。</w:t>
            </w:r>
          </w:p>
        </w:tc>
      </w:tr>
      <w:tr w:rsidR="006704C2" w14:paraId="678FCF22" w14:textId="77777777" w:rsidTr="007C34EF">
        <w:trPr>
          <w:trHeight w:val="582"/>
        </w:trPr>
        <w:tc>
          <w:tcPr>
            <w:tcW w:w="879" w:type="pct"/>
            <w:shd w:val="clear" w:color="auto" w:fill="auto"/>
            <w:vAlign w:val="center"/>
          </w:tcPr>
          <w:p w14:paraId="353D80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787" w:type="pct"/>
            <w:shd w:val="clear" w:color="auto" w:fill="auto"/>
            <w:vAlign w:val="center"/>
          </w:tcPr>
          <w:p w14:paraId="136CE8F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811" w:type="pct"/>
            <w:shd w:val="clear" w:color="auto" w:fill="auto"/>
            <w:vAlign w:val="center"/>
          </w:tcPr>
          <w:p w14:paraId="543238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642" w:type="pct"/>
            <w:shd w:val="clear" w:color="auto" w:fill="auto"/>
            <w:vAlign w:val="center"/>
          </w:tcPr>
          <w:p w14:paraId="25BDC25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668" w:type="pct"/>
            <w:shd w:val="clear" w:color="auto" w:fill="auto"/>
            <w:vAlign w:val="center"/>
          </w:tcPr>
          <w:p w14:paraId="7BD58E4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85" w:type="pct"/>
            <w:shd w:val="clear" w:color="auto" w:fill="auto"/>
            <w:vAlign w:val="center"/>
          </w:tcPr>
          <w:p w14:paraId="4AC0DB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63BBC6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w:t>
            </w:r>
            <w:r>
              <w:rPr>
                <w:rFonts w:ascii="宋体" w:hAnsi="宋体" w:cs="宋体" w:hint="eastAsia"/>
                <w:kern w:val="0"/>
                <w:sz w:val="20"/>
                <w:szCs w:val="20"/>
              </w:rPr>
              <w:lastRenderedPageBreak/>
              <w:t>值</w:t>
            </w:r>
          </w:p>
        </w:tc>
        <w:tc>
          <w:tcPr>
            <w:tcW w:w="285" w:type="pct"/>
            <w:shd w:val="clear" w:color="auto" w:fill="auto"/>
            <w:vAlign w:val="center"/>
          </w:tcPr>
          <w:p w14:paraId="35B122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得分</w:t>
            </w:r>
          </w:p>
        </w:tc>
      </w:tr>
      <w:tr w:rsidR="006704C2" w14:paraId="61D73E53" w14:textId="77777777" w:rsidTr="007C34EF">
        <w:trPr>
          <w:trHeight w:val="739"/>
        </w:trPr>
        <w:tc>
          <w:tcPr>
            <w:tcW w:w="879" w:type="pct"/>
            <w:vMerge w:val="restart"/>
            <w:shd w:val="clear" w:color="auto" w:fill="auto"/>
            <w:vAlign w:val="center"/>
          </w:tcPr>
          <w:p w14:paraId="130A3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787" w:type="pct"/>
            <w:vMerge w:val="restart"/>
            <w:shd w:val="clear" w:color="auto" w:fill="auto"/>
            <w:vAlign w:val="center"/>
          </w:tcPr>
          <w:p w14:paraId="09EAD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11FFF5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人员工资、社保、住房发放人数</w:t>
            </w:r>
          </w:p>
        </w:tc>
        <w:tc>
          <w:tcPr>
            <w:tcW w:w="642" w:type="pct"/>
            <w:shd w:val="clear" w:color="auto" w:fill="auto"/>
            <w:vAlign w:val="center"/>
          </w:tcPr>
          <w:p w14:paraId="23777D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&gt;=4人</w:t>
            </w:r>
          </w:p>
        </w:tc>
        <w:tc>
          <w:tcPr>
            <w:tcW w:w="668" w:type="pct"/>
            <w:shd w:val="clear" w:color="auto" w:fill="auto"/>
            <w:vAlign w:val="center"/>
          </w:tcPr>
          <w:p w14:paraId="3A1AC52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300A50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16B35EA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4人</w:t>
            </w:r>
          </w:p>
        </w:tc>
        <w:tc>
          <w:tcPr>
            <w:tcW w:w="285" w:type="pct"/>
            <w:shd w:val="clear" w:color="auto" w:fill="auto"/>
            <w:vAlign w:val="center"/>
          </w:tcPr>
          <w:p w14:paraId="7A42703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4025C9C8" w14:textId="77777777" w:rsidTr="007C34EF">
        <w:trPr>
          <w:trHeight w:val="739"/>
        </w:trPr>
        <w:tc>
          <w:tcPr>
            <w:tcW w:w="879" w:type="pct"/>
            <w:vMerge/>
            <w:vAlign w:val="center"/>
          </w:tcPr>
          <w:p w14:paraId="197EE247" w14:textId="77777777" w:rsidR="006704C2" w:rsidRDefault="006704C2">
            <w:pPr>
              <w:widowControl/>
              <w:jc w:val="left"/>
              <w:rPr>
                <w:rFonts w:ascii="宋体" w:hAnsi="宋体" w:cs="宋体" w:hint="eastAsia"/>
                <w:kern w:val="0"/>
                <w:sz w:val="20"/>
                <w:szCs w:val="20"/>
              </w:rPr>
            </w:pPr>
          </w:p>
        </w:tc>
        <w:tc>
          <w:tcPr>
            <w:tcW w:w="787" w:type="pct"/>
            <w:vMerge/>
            <w:vAlign w:val="center"/>
          </w:tcPr>
          <w:p w14:paraId="33BB7564" w14:textId="77777777" w:rsidR="006704C2" w:rsidRDefault="006704C2">
            <w:pPr>
              <w:widowControl/>
              <w:jc w:val="left"/>
              <w:rPr>
                <w:rFonts w:ascii="宋体" w:hAnsi="宋体" w:cs="宋体" w:hint="eastAsia"/>
                <w:kern w:val="0"/>
                <w:sz w:val="20"/>
                <w:szCs w:val="20"/>
              </w:rPr>
            </w:pPr>
          </w:p>
        </w:tc>
        <w:tc>
          <w:tcPr>
            <w:tcW w:w="811" w:type="pct"/>
            <w:shd w:val="clear" w:color="auto" w:fill="auto"/>
            <w:vAlign w:val="center"/>
          </w:tcPr>
          <w:p w14:paraId="39934E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642" w:type="pct"/>
            <w:shd w:val="clear" w:color="auto" w:fill="auto"/>
            <w:vAlign w:val="center"/>
          </w:tcPr>
          <w:p w14:paraId="633C2D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668" w:type="pct"/>
            <w:shd w:val="clear" w:color="auto" w:fill="auto"/>
            <w:vAlign w:val="center"/>
          </w:tcPr>
          <w:p w14:paraId="169895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769CD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78F0DDB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285" w:type="pct"/>
            <w:shd w:val="clear" w:color="auto" w:fill="auto"/>
            <w:vAlign w:val="center"/>
          </w:tcPr>
          <w:p w14:paraId="4B77708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01C9D669" w14:textId="77777777" w:rsidTr="007C34EF">
        <w:trPr>
          <w:trHeight w:val="739"/>
        </w:trPr>
        <w:tc>
          <w:tcPr>
            <w:tcW w:w="879" w:type="pct"/>
            <w:vMerge/>
            <w:vAlign w:val="center"/>
          </w:tcPr>
          <w:p w14:paraId="04BAE17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106843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vAlign w:val="center"/>
          </w:tcPr>
          <w:p w14:paraId="0AF686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公用经费支付及时率</w:t>
            </w:r>
          </w:p>
        </w:tc>
        <w:tc>
          <w:tcPr>
            <w:tcW w:w="642" w:type="pct"/>
            <w:shd w:val="clear" w:color="auto" w:fill="auto"/>
            <w:vAlign w:val="center"/>
          </w:tcPr>
          <w:p w14:paraId="2E8154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&gt;99百分率</w:t>
            </w:r>
          </w:p>
        </w:tc>
        <w:tc>
          <w:tcPr>
            <w:tcW w:w="668" w:type="pct"/>
            <w:shd w:val="clear" w:color="auto" w:fill="auto"/>
            <w:vAlign w:val="center"/>
          </w:tcPr>
          <w:p w14:paraId="32823A7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49097C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0BEC18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99%</w:t>
            </w:r>
          </w:p>
        </w:tc>
        <w:tc>
          <w:tcPr>
            <w:tcW w:w="285" w:type="pct"/>
            <w:shd w:val="clear" w:color="auto" w:fill="auto"/>
            <w:vAlign w:val="center"/>
          </w:tcPr>
          <w:p w14:paraId="7B68E29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3AD98BF2" w14:textId="77777777" w:rsidTr="007C34EF">
        <w:trPr>
          <w:trHeight w:val="739"/>
        </w:trPr>
        <w:tc>
          <w:tcPr>
            <w:tcW w:w="879" w:type="pct"/>
            <w:vMerge/>
            <w:vAlign w:val="center"/>
          </w:tcPr>
          <w:p w14:paraId="373330EB"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41E878B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vAlign w:val="center"/>
          </w:tcPr>
          <w:p w14:paraId="0E6D0B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单位正常运转率</w:t>
            </w:r>
          </w:p>
        </w:tc>
        <w:tc>
          <w:tcPr>
            <w:tcW w:w="642" w:type="pct"/>
            <w:shd w:val="clear" w:color="auto" w:fill="auto"/>
            <w:vAlign w:val="center"/>
          </w:tcPr>
          <w:p w14:paraId="086E98E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=100百分率</w:t>
            </w:r>
          </w:p>
        </w:tc>
        <w:tc>
          <w:tcPr>
            <w:tcW w:w="668" w:type="pct"/>
            <w:shd w:val="clear" w:color="auto" w:fill="auto"/>
            <w:vAlign w:val="center"/>
          </w:tcPr>
          <w:p w14:paraId="15ED872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5467A3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26F1F9D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5" w:type="pct"/>
            <w:shd w:val="clear" w:color="auto" w:fill="auto"/>
            <w:vAlign w:val="center"/>
          </w:tcPr>
          <w:p w14:paraId="2C0AF15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798E0ED0" w14:textId="77777777" w:rsidTr="007C34EF">
        <w:trPr>
          <w:trHeight w:val="739"/>
        </w:trPr>
        <w:tc>
          <w:tcPr>
            <w:tcW w:w="879" w:type="pct"/>
            <w:shd w:val="clear" w:color="auto" w:fill="auto"/>
            <w:vAlign w:val="center"/>
          </w:tcPr>
          <w:p w14:paraId="46DA87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787" w:type="pct"/>
            <w:shd w:val="clear" w:color="auto" w:fill="auto"/>
            <w:vAlign w:val="center"/>
          </w:tcPr>
          <w:p w14:paraId="4891CE4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11" w:type="pct"/>
            <w:shd w:val="clear" w:color="auto" w:fill="auto"/>
            <w:vAlign w:val="center"/>
          </w:tcPr>
          <w:p w14:paraId="1CA278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42" w:type="pct"/>
            <w:shd w:val="clear" w:color="auto" w:fill="auto"/>
            <w:vAlign w:val="center"/>
          </w:tcPr>
          <w:p w14:paraId="1FEBBA3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68" w:type="pct"/>
            <w:shd w:val="clear" w:color="auto" w:fill="auto"/>
            <w:vAlign w:val="center"/>
          </w:tcPr>
          <w:p w14:paraId="3152B1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85" w:type="pct"/>
            <w:shd w:val="clear" w:color="auto" w:fill="auto"/>
            <w:vAlign w:val="center"/>
          </w:tcPr>
          <w:p w14:paraId="4C65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43" w:type="pct"/>
            <w:shd w:val="clear" w:color="auto" w:fill="auto"/>
            <w:vAlign w:val="center"/>
          </w:tcPr>
          <w:p w14:paraId="5DF27B8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85" w:type="pct"/>
            <w:shd w:val="clear" w:color="auto" w:fill="auto"/>
            <w:vAlign w:val="center"/>
          </w:tcPr>
          <w:p w14:paraId="3A7A1BE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704C2" w14:paraId="3661AEC0" w14:textId="77777777" w:rsidTr="007C34EF">
        <w:trPr>
          <w:trHeight w:val="739"/>
        </w:trPr>
        <w:tc>
          <w:tcPr>
            <w:tcW w:w="879" w:type="pct"/>
            <w:vMerge w:val="restart"/>
            <w:shd w:val="clear" w:color="auto" w:fill="auto"/>
            <w:vAlign w:val="center"/>
          </w:tcPr>
          <w:p w14:paraId="59DB38D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787" w:type="pct"/>
            <w:vMerge w:val="restart"/>
            <w:shd w:val="clear" w:color="auto" w:fill="auto"/>
            <w:vAlign w:val="center"/>
          </w:tcPr>
          <w:p w14:paraId="4A20BD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6509AA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完成蝗虫鼠害防治</w:t>
            </w:r>
          </w:p>
        </w:tc>
        <w:tc>
          <w:tcPr>
            <w:tcW w:w="642" w:type="pct"/>
            <w:shd w:val="clear" w:color="auto" w:fill="auto"/>
            <w:vAlign w:val="center"/>
          </w:tcPr>
          <w:p w14:paraId="3EE95C4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&gt;4次</w:t>
            </w:r>
          </w:p>
        </w:tc>
        <w:tc>
          <w:tcPr>
            <w:tcW w:w="668" w:type="pct"/>
            <w:shd w:val="clear" w:color="auto" w:fill="auto"/>
            <w:vAlign w:val="center"/>
          </w:tcPr>
          <w:p w14:paraId="1986BE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vAlign w:val="center"/>
          </w:tcPr>
          <w:p w14:paraId="6152AD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vAlign w:val="center"/>
          </w:tcPr>
          <w:p w14:paraId="3BDA62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4次</w:t>
            </w:r>
          </w:p>
        </w:tc>
        <w:tc>
          <w:tcPr>
            <w:tcW w:w="285" w:type="pct"/>
            <w:shd w:val="clear" w:color="auto" w:fill="auto"/>
            <w:vAlign w:val="center"/>
          </w:tcPr>
          <w:p w14:paraId="43EEACA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6704C2" w14:paraId="78A44174" w14:textId="77777777" w:rsidTr="007C34EF">
        <w:trPr>
          <w:trHeight w:val="739"/>
        </w:trPr>
        <w:tc>
          <w:tcPr>
            <w:tcW w:w="879" w:type="pct"/>
            <w:vMerge/>
            <w:vAlign w:val="center"/>
          </w:tcPr>
          <w:p w14:paraId="5C79C4C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467FF07F"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3A13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完成草原围栏建设</w:t>
            </w:r>
          </w:p>
        </w:tc>
        <w:tc>
          <w:tcPr>
            <w:tcW w:w="642" w:type="pct"/>
            <w:shd w:val="clear" w:color="auto" w:fill="auto"/>
            <w:noWrap/>
            <w:vAlign w:val="center"/>
          </w:tcPr>
          <w:p w14:paraId="101B322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&gt;10公里</w:t>
            </w:r>
          </w:p>
        </w:tc>
        <w:tc>
          <w:tcPr>
            <w:tcW w:w="668" w:type="pct"/>
            <w:shd w:val="clear" w:color="auto" w:fill="auto"/>
            <w:noWrap/>
            <w:vAlign w:val="center"/>
          </w:tcPr>
          <w:p w14:paraId="7E5EFD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1D290A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noWrap/>
            <w:vAlign w:val="center"/>
          </w:tcPr>
          <w:p w14:paraId="4A8E718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10公里</w:t>
            </w:r>
          </w:p>
        </w:tc>
        <w:tc>
          <w:tcPr>
            <w:tcW w:w="285" w:type="pct"/>
            <w:shd w:val="clear" w:color="auto" w:fill="auto"/>
            <w:noWrap/>
            <w:vAlign w:val="center"/>
          </w:tcPr>
          <w:p w14:paraId="55A6BC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r>
      <w:tr w:rsidR="006704C2" w14:paraId="5ECB4DEE" w14:textId="77777777" w:rsidTr="007C34EF">
        <w:trPr>
          <w:trHeight w:val="739"/>
        </w:trPr>
        <w:tc>
          <w:tcPr>
            <w:tcW w:w="879" w:type="pct"/>
            <w:vMerge/>
            <w:vAlign w:val="center"/>
          </w:tcPr>
          <w:p w14:paraId="506FFD52" w14:textId="77777777" w:rsidR="006704C2" w:rsidRDefault="006704C2">
            <w:pPr>
              <w:widowControl/>
              <w:jc w:val="left"/>
              <w:rPr>
                <w:rFonts w:ascii="宋体" w:hAnsi="宋体" w:cs="宋体" w:hint="eastAsia"/>
                <w:kern w:val="0"/>
                <w:sz w:val="20"/>
                <w:szCs w:val="20"/>
              </w:rPr>
            </w:pPr>
          </w:p>
        </w:tc>
        <w:tc>
          <w:tcPr>
            <w:tcW w:w="787" w:type="pct"/>
            <w:vMerge w:val="restart"/>
            <w:shd w:val="clear" w:color="auto" w:fill="auto"/>
            <w:noWrap/>
            <w:vAlign w:val="center"/>
          </w:tcPr>
          <w:p w14:paraId="7356082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4682D5E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草原保护围栏建设合格率</w:t>
            </w:r>
          </w:p>
        </w:tc>
        <w:tc>
          <w:tcPr>
            <w:tcW w:w="642" w:type="pct"/>
            <w:shd w:val="clear" w:color="auto" w:fill="auto"/>
            <w:noWrap/>
            <w:vAlign w:val="center"/>
          </w:tcPr>
          <w:p w14:paraId="245582F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7F8F36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423BEC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5A5AD42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6989994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740AE4E" w14:textId="77777777" w:rsidTr="007C34EF">
        <w:trPr>
          <w:trHeight w:val="739"/>
        </w:trPr>
        <w:tc>
          <w:tcPr>
            <w:tcW w:w="879" w:type="pct"/>
            <w:vMerge w:val="restart"/>
            <w:shd w:val="clear" w:color="auto" w:fill="auto"/>
            <w:noWrap/>
            <w:vAlign w:val="center"/>
          </w:tcPr>
          <w:p w14:paraId="3879825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787" w:type="pct"/>
            <w:vMerge/>
            <w:vAlign w:val="center"/>
          </w:tcPr>
          <w:p w14:paraId="28895BFB"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89A7E0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草场覆盖率</w:t>
            </w:r>
          </w:p>
        </w:tc>
        <w:tc>
          <w:tcPr>
            <w:tcW w:w="642" w:type="pct"/>
            <w:shd w:val="clear" w:color="auto" w:fill="auto"/>
            <w:noWrap/>
            <w:vAlign w:val="center"/>
          </w:tcPr>
          <w:p w14:paraId="19E0D3B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6125F34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07F3040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10EE1F1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5" w:type="pct"/>
            <w:shd w:val="clear" w:color="auto" w:fill="auto"/>
            <w:noWrap/>
            <w:vAlign w:val="center"/>
          </w:tcPr>
          <w:p w14:paraId="1A2C799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085078F" w14:textId="77777777" w:rsidTr="007C34EF">
        <w:trPr>
          <w:trHeight w:val="739"/>
        </w:trPr>
        <w:tc>
          <w:tcPr>
            <w:tcW w:w="879" w:type="pct"/>
            <w:vMerge/>
            <w:vAlign w:val="center"/>
          </w:tcPr>
          <w:p w14:paraId="476BBF20"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0B9011D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noWrap/>
            <w:vAlign w:val="center"/>
          </w:tcPr>
          <w:p w14:paraId="3108DEB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促进全县林草持续健康发展</w:t>
            </w:r>
          </w:p>
        </w:tc>
        <w:tc>
          <w:tcPr>
            <w:tcW w:w="642" w:type="pct"/>
            <w:shd w:val="clear" w:color="auto" w:fill="auto"/>
            <w:noWrap/>
            <w:vAlign w:val="center"/>
          </w:tcPr>
          <w:p w14:paraId="3C55C1A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668" w:type="pct"/>
            <w:shd w:val="clear" w:color="auto" w:fill="auto"/>
            <w:noWrap/>
            <w:vAlign w:val="center"/>
          </w:tcPr>
          <w:p w14:paraId="40F2874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33C41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9BBDA7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285" w:type="pct"/>
            <w:shd w:val="clear" w:color="auto" w:fill="auto"/>
            <w:noWrap/>
            <w:vAlign w:val="center"/>
          </w:tcPr>
          <w:p w14:paraId="26B95F2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157B0067" w14:textId="77777777" w:rsidTr="007C34EF">
        <w:trPr>
          <w:trHeight w:val="739"/>
        </w:trPr>
        <w:tc>
          <w:tcPr>
            <w:tcW w:w="879" w:type="pct"/>
            <w:shd w:val="clear" w:color="auto" w:fill="auto"/>
            <w:noWrap/>
            <w:vAlign w:val="center"/>
          </w:tcPr>
          <w:p w14:paraId="7A7FB3F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787" w:type="pct"/>
            <w:vMerge w:val="restart"/>
            <w:shd w:val="clear" w:color="auto" w:fill="auto"/>
            <w:noWrap/>
            <w:vAlign w:val="center"/>
          </w:tcPr>
          <w:p w14:paraId="1028F63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0E7A2E7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草原保护建设率</w:t>
            </w:r>
          </w:p>
        </w:tc>
        <w:tc>
          <w:tcPr>
            <w:tcW w:w="642" w:type="pct"/>
            <w:shd w:val="clear" w:color="auto" w:fill="auto"/>
            <w:noWrap/>
            <w:vAlign w:val="center"/>
          </w:tcPr>
          <w:p w14:paraId="0056461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08CB50D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AE957A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4D5243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5" w:type="pct"/>
            <w:shd w:val="clear" w:color="auto" w:fill="auto"/>
            <w:noWrap/>
            <w:vAlign w:val="center"/>
          </w:tcPr>
          <w:p w14:paraId="5FDBFCB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4605EF18" w14:textId="77777777" w:rsidTr="007C34EF">
        <w:trPr>
          <w:trHeight w:val="739"/>
        </w:trPr>
        <w:tc>
          <w:tcPr>
            <w:tcW w:w="879" w:type="pct"/>
            <w:vMerge w:val="restart"/>
            <w:shd w:val="clear" w:color="auto" w:fill="auto"/>
            <w:noWrap/>
            <w:vAlign w:val="center"/>
          </w:tcPr>
          <w:p w14:paraId="2ACB35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787" w:type="pct"/>
            <w:vMerge/>
            <w:vAlign w:val="center"/>
          </w:tcPr>
          <w:p w14:paraId="50E09C04"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53CE13E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相关部门满意度</w:t>
            </w:r>
          </w:p>
        </w:tc>
        <w:tc>
          <w:tcPr>
            <w:tcW w:w="642" w:type="pct"/>
            <w:shd w:val="clear" w:color="auto" w:fill="auto"/>
            <w:noWrap/>
            <w:vAlign w:val="center"/>
          </w:tcPr>
          <w:p w14:paraId="23DE659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25EB9E6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5B27D13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19327D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256C47A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02585814" w14:textId="77777777" w:rsidTr="007C34EF">
        <w:trPr>
          <w:trHeight w:val="739"/>
        </w:trPr>
        <w:tc>
          <w:tcPr>
            <w:tcW w:w="879" w:type="pct"/>
            <w:vMerge/>
            <w:vAlign w:val="center"/>
          </w:tcPr>
          <w:p w14:paraId="6CB2373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0BFE4953"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4FBC1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农牧民满意度</w:t>
            </w:r>
          </w:p>
        </w:tc>
        <w:tc>
          <w:tcPr>
            <w:tcW w:w="642" w:type="pct"/>
            <w:shd w:val="clear" w:color="auto" w:fill="auto"/>
            <w:noWrap/>
            <w:vAlign w:val="center"/>
          </w:tcPr>
          <w:p w14:paraId="4EF0588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&gt;90办百分率</w:t>
            </w:r>
          </w:p>
        </w:tc>
        <w:tc>
          <w:tcPr>
            <w:tcW w:w="668" w:type="pct"/>
            <w:shd w:val="clear" w:color="auto" w:fill="auto"/>
            <w:noWrap/>
            <w:vAlign w:val="center"/>
          </w:tcPr>
          <w:p w14:paraId="75815BD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EADC37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B307D1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3E3B41C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12379B62" w14:textId="77777777" w:rsidR="006704C2" w:rsidRDefault="006704C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10"/>
        <w:gridCol w:w="614"/>
        <w:gridCol w:w="1018"/>
        <w:gridCol w:w="206"/>
        <w:gridCol w:w="816"/>
        <w:gridCol w:w="337"/>
        <w:gridCol w:w="879"/>
        <w:gridCol w:w="777"/>
        <w:gridCol w:w="489"/>
        <w:gridCol w:w="431"/>
        <w:gridCol w:w="489"/>
        <w:gridCol w:w="430"/>
        <w:gridCol w:w="486"/>
        <w:gridCol w:w="718"/>
        <w:gridCol w:w="222"/>
      </w:tblGrid>
      <w:tr w:rsidR="006704C2" w14:paraId="07F72D79" w14:textId="77777777" w:rsidTr="007C34EF">
        <w:trPr>
          <w:gridAfter w:val="1"/>
          <w:wAfter w:w="130" w:type="pct"/>
          <w:trHeight w:val="405"/>
        </w:trPr>
        <w:tc>
          <w:tcPr>
            <w:tcW w:w="4870" w:type="pct"/>
            <w:gridSpan w:val="14"/>
            <w:tcBorders>
              <w:top w:val="nil"/>
              <w:left w:val="nil"/>
              <w:bottom w:val="nil"/>
              <w:right w:val="nil"/>
            </w:tcBorders>
            <w:shd w:val="clear" w:color="auto" w:fill="auto"/>
            <w:vAlign w:val="center"/>
          </w:tcPr>
          <w:p w14:paraId="7A50C735" w14:textId="77777777" w:rsidR="006704C2" w:rsidRDefault="00000000">
            <w:pPr>
              <w:widowControl/>
              <w:jc w:val="center"/>
              <w:rPr>
                <w:rFonts w:ascii="宋体" w:hAnsi="宋体" w:cs="宋体" w:hint="eastAsia"/>
                <w:b/>
                <w:bCs/>
                <w:kern w:val="0"/>
                <w:sz w:val="32"/>
                <w:szCs w:val="32"/>
              </w:rPr>
            </w:pPr>
            <w:r>
              <w:rPr>
                <w:rFonts w:ascii="宋体" w:hAnsi="宋体" w:cs="宋体" w:hint="eastAsia"/>
                <w:b/>
                <w:bCs/>
                <w:kern w:val="0"/>
                <w:sz w:val="32"/>
                <w:szCs w:val="32"/>
              </w:rPr>
              <w:t>项目支出绩效自评表</w:t>
            </w:r>
          </w:p>
        </w:tc>
      </w:tr>
      <w:tr w:rsidR="006704C2" w14:paraId="5BE08B79" w14:textId="77777777" w:rsidTr="007C34E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tcPr>
          <w:p w14:paraId="3098401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10E76B68" w14:textId="77777777" w:rsidTr="007C34EF">
        <w:trPr>
          <w:gridAfter w:val="1"/>
          <w:wAfter w:w="130" w:type="pct"/>
          <w:trHeight w:val="270"/>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93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项目名称</w:t>
            </w:r>
          </w:p>
        </w:tc>
        <w:tc>
          <w:tcPr>
            <w:tcW w:w="4152" w:type="pct"/>
            <w:gridSpan w:val="12"/>
            <w:tcBorders>
              <w:top w:val="single" w:sz="4" w:space="0" w:color="auto"/>
              <w:left w:val="nil"/>
              <w:bottom w:val="single" w:sz="4" w:space="0" w:color="auto"/>
              <w:right w:val="single" w:sz="4" w:space="0" w:color="auto"/>
            </w:tcBorders>
            <w:shd w:val="clear" w:color="auto" w:fill="auto"/>
            <w:vAlign w:val="center"/>
          </w:tcPr>
          <w:p w14:paraId="3143CB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昌州财建（2022）46号-木垒县2022年中央林业草原生态保护恢复资金项目</w:t>
            </w:r>
          </w:p>
        </w:tc>
      </w:tr>
      <w:tr w:rsidR="006704C2" w14:paraId="5BA46925" w14:textId="77777777" w:rsidTr="007C34EF">
        <w:trPr>
          <w:gridAfter w:val="1"/>
          <w:wAfter w:w="130" w:type="pct"/>
          <w:trHeight w:val="270"/>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23B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tcPr>
          <w:p w14:paraId="1B35E58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7DB3A7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tcPr>
          <w:p w14:paraId="7028788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1598A6ED" w14:textId="77777777" w:rsidTr="007C34EF">
        <w:trPr>
          <w:gridAfter w:val="1"/>
          <w:wAfter w:w="130" w:type="pct"/>
          <w:trHeight w:val="480"/>
        </w:trPr>
        <w:tc>
          <w:tcPr>
            <w:tcW w:w="7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2A0C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项目资金</w:t>
            </w:r>
            <w:r>
              <w:rPr>
                <w:rFonts w:ascii="宋体" w:hAnsi="宋体" w:cs="宋体" w:hint="eastAsia"/>
                <w:kern w:val="0"/>
                <w:sz w:val="20"/>
                <w:szCs w:val="20"/>
              </w:rPr>
              <w:br/>
              <w:t>（万元）</w:t>
            </w: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5BBE170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79" w:type="pct"/>
            <w:tcBorders>
              <w:top w:val="single" w:sz="4" w:space="0" w:color="auto"/>
              <w:left w:val="nil"/>
              <w:bottom w:val="single" w:sz="4" w:space="0" w:color="auto"/>
              <w:right w:val="single" w:sz="4" w:space="0" w:color="auto"/>
            </w:tcBorders>
            <w:shd w:val="clear" w:color="auto" w:fill="auto"/>
            <w:vAlign w:val="center"/>
          </w:tcPr>
          <w:p w14:paraId="26865E9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0BE82B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64E68E2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7BE941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3E8637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21" w:type="pct"/>
            <w:tcBorders>
              <w:top w:val="single" w:sz="4" w:space="0" w:color="auto"/>
              <w:left w:val="nil"/>
              <w:bottom w:val="single" w:sz="4" w:space="0" w:color="auto"/>
              <w:right w:val="single" w:sz="4" w:space="0" w:color="auto"/>
            </w:tcBorders>
            <w:shd w:val="clear" w:color="auto" w:fill="auto"/>
            <w:vAlign w:val="center"/>
          </w:tcPr>
          <w:p w14:paraId="3E1062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41AD072"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1C48A259"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2988F86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年度资金总额</w:t>
            </w:r>
          </w:p>
        </w:tc>
        <w:tc>
          <w:tcPr>
            <w:tcW w:w="479" w:type="pct"/>
            <w:tcBorders>
              <w:top w:val="single" w:sz="4" w:space="0" w:color="auto"/>
              <w:left w:val="nil"/>
              <w:bottom w:val="single" w:sz="4" w:space="0" w:color="auto"/>
              <w:right w:val="single" w:sz="4" w:space="0" w:color="auto"/>
            </w:tcBorders>
            <w:shd w:val="clear" w:color="auto" w:fill="auto"/>
            <w:vAlign w:val="center"/>
          </w:tcPr>
          <w:p w14:paraId="06AECA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7A93FD5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A6A8E6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04E5EE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3F19EC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100.00%</w:t>
            </w:r>
          </w:p>
        </w:tc>
        <w:tc>
          <w:tcPr>
            <w:tcW w:w="421" w:type="pct"/>
            <w:tcBorders>
              <w:top w:val="single" w:sz="4" w:space="0" w:color="auto"/>
              <w:left w:val="nil"/>
              <w:bottom w:val="single" w:sz="4" w:space="0" w:color="auto"/>
              <w:right w:val="single" w:sz="4" w:space="0" w:color="auto"/>
            </w:tcBorders>
            <w:shd w:val="clear" w:color="auto" w:fill="auto"/>
            <w:vAlign w:val="center"/>
          </w:tcPr>
          <w:p w14:paraId="67654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w:t>
            </w:r>
          </w:p>
        </w:tc>
      </w:tr>
      <w:tr w:rsidR="006704C2" w14:paraId="2FEFB783"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03BB6362"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46E062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其中：当年财政拨款</w:t>
            </w:r>
          </w:p>
        </w:tc>
        <w:tc>
          <w:tcPr>
            <w:tcW w:w="479" w:type="pct"/>
            <w:tcBorders>
              <w:top w:val="single" w:sz="4" w:space="0" w:color="auto"/>
              <w:left w:val="nil"/>
              <w:bottom w:val="single" w:sz="4" w:space="0" w:color="auto"/>
              <w:right w:val="single" w:sz="4" w:space="0" w:color="auto"/>
            </w:tcBorders>
            <w:shd w:val="clear" w:color="auto" w:fill="auto"/>
            <w:vAlign w:val="center"/>
          </w:tcPr>
          <w:p w14:paraId="292B949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07EFF4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B8164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4DF946F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F250C2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vAlign w:val="center"/>
          </w:tcPr>
          <w:p w14:paraId="7B4F65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6A88E3B"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5A4EA719"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166D4C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其他资金</w:t>
            </w:r>
          </w:p>
        </w:tc>
        <w:tc>
          <w:tcPr>
            <w:tcW w:w="479" w:type="pct"/>
            <w:tcBorders>
              <w:top w:val="single" w:sz="4" w:space="0" w:color="auto"/>
              <w:left w:val="nil"/>
              <w:bottom w:val="single" w:sz="4" w:space="0" w:color="auto"/>
              <w:right w:val="single" w:sz="4" w:space="0" w:color="auto"/>
            </w:tcBorders>
            <w:shd w:val="clear" w:color="auto" w:fill="auto"/>
            <w:vAlign w:val="center"/>
          </w:tcPr>
          <w:p w14:paraId="7A129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36600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CFAB5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591A185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92429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vAlign w:val="center"/>
          </w:tcPr>
          <w:p w14:paraId="5B49BB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0B3E4AA0" w14:textId="77777777" w:rsidTr="007C34EF">
        <w:trPr>
          <w:gridAfter w:val="1"/>
          <w:wAfter w:w="130" w:type="pct"/>
          <w:trHeight w:val="270"/>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653F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70" w:type="pct"/>
            <w:gridSpan w:val="6"/>
            <w:tcBorders>
              <w:top w:val="single" w:sz="4" w:space="0" w:color="auto"/>
              <w:left w:val="nil"/>
              <w:bottom w:val="single" w:sz="4" w:space="0" w:color="auto"/>
              <w:right w:val="single" w:sz="4" w:space="0" w:color="auto"/>
            </w:tcBorders>
            <w:shd w:val="clear" w:color="auto" w:fill="auto"/>
            <w:vAlign w:val="center"/>
          </w:tcPr>
          <w:p w14:paraId="763E47A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241" w:type="pct"/>
            <w:gridSpan w:val="7"/>
            <w:tcBorders>
              <w:top w:val="single" w:sz="4" w:space="0" w:color="auto"/>
              <w:left w:val="nil"/>
              <w:bottom w:val="single" w:sz="4" w:space="0" w:color="auto"/>
              <w:right w:val="single" w:sz="4" w:space="0" w:color="auto"/>
            </w:tcBorders>
            <w:shd w:val="clear" w:color="auto" w:fill="auto"/>
            <w:vAlign w:val="center"/>
          </w:tcPr>
          <w:p w14:paraId="4E50C2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18D9AD72" w14:textId="77777777" w:rsidTr="007C34EF">
        <w:trPr>
          <w:gridAfter w:val="1"/>
          <w:wAfter w:w="130" w:type="pct"/>
          <w:trHeight w:val="540"/>
        </w:trPr>
        <w:tc>
          <w:tcPr>
            <w:tcW w:w="358" w:type="pct"/>
            <w:vMerge/>
            <w:tcBorders>
              <w:top w:val="single" w:sz="4" w:space="0" w:color="auto"/>
              <w:left w:val="single" w:sz="4" w:space="0" w:color="auto"/>
              <w:bottom w:val="single" w:sz="4" w:space="0" w:color="auto"/>
              <w:right w:val="single" w:sz="4" w:space="0" w:color="auto"/>
            </w:tcBorders>
            <w:vAlign w:val="center"/>
          </w:tcPr>
          <w:p w14:paraId="6FC19CDC" w14:textId="77777777" w:rsidR="006704C2" w:rsidRDefault="006704C2">
            <w:pPr>
              <w:widowControl/>
              <w:jc w:val="left"/>
              <w:rPr>
                <w:rFonts w:ascii="宋体" w:hAnsi="宋体" w:cs="宋体" w:hint="eastAsia"/>
                <w:kern w:val="0"/>
                <w:sz w:val="20"/>
                <w:szCs w:val="20"/>
              </w:rPr>
            </w:pPr>
          </w:p>
        </w:tc>
        <w:tc>
          <w:tcPr>
            <w:tcW w:w="2270" w:type="pct"/>
            <w:gridSpan w:val="6"/>
            <w:tcBorders>
              <w:top w:val="single" w:sz="4" w:space="0" w:color="auto"/>
              <w:left w:val="single" w:sz="4" w:space="0" w:color="auto"/>
              <w:bottom w:val="single" w:sz="4" w:space="0" w:color="auto"/>
              <w:right w:val="single" w:sz="4" w:space="0" w:color="auto"/>
            </w:tcBorders>
            <w:shd w:val="clear" w:color="auto" w:fill="auto"/>
          </w:tcPr>
          <w:p w14:paraId="71ABA1B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通过项目建设，可有效地使周边生态环境也得到改善，通过围栏工程8万亩，减轻草原放牧压力，恢复草原植被盖度率，退化草原得到恢复，风沙侵害有效遏制，水土流失问题得到整治，使改善生态环境。</w:t>
            </w:r>
          </w:p>
        </w:tc>
        <w:tc>
          <w:tcPr>
            <w:tcW w:w="2241" w:type="pct"/>
            <w:gridSpan w:val="7"/>
            <w:tcBorders>
              <w:top w:val="single" w:sz="4" w:space="0" w:color="auto"/>
              <w:left w:val="single" w:sz="4" w:space="0" w:color="auto"/>
              <w:bottom w:val="single" w:sz="4" w:space="0" w:color="auto"/>
              <w:right w:val="single" w:sz="4" w:space="0" w:color="auto"/>
            </w:tcBorders>
            <w:shd w:val="clear" w:color="auto" w:fill="auto"/>
          </w:tcPr>
          <w:p w14:paraId="6068358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截止本项目完成时限，我单位针对本项目已完成如下工作：退还草原生态修复治理面积8万亩，减轻了草原放牧压力，恢复了草原植被盖度率，退化草原得到了恢复，风沙侵害有效遏制，水土流失问题得到整治，改善了生态环境。</w:t>
            </w:r>
          </w:p>
        </w:tc>
      </w:tr>
      <w:tr w:rsidR="006704C2" w14:paraId="70B0F904" w14:textId="77777777" w:rsidTr="007C34EF">
        <w:trPr>
          <w:gridAfter w:val="1"/>
          <w:wAfter w:w="130" w:type="pct"/>
          <w:trHeight w:val="312"/>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DFB37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F5FB1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F31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204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3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年度指标值</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6C005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实际完成值</w:t>
            </w:r>
          </w:p>
        </w:tc>
        <w:tc>
          <w:tcPr>
            <w:tcW w:w="5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733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4E3A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3F7A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偏差原因分析及改进措施</w:t>
            </w:r>
          </w:p>
        </w:tc>
      </w:tr>
      <w:tr w:rsidR="006704C2" w14:paraId="4A6B6492" w14:textId="77777777" w:rsidTr="007C34EF">
        <w:trPr>
          <w:trHeight w:val="270"/>
        </w:trPr>
        <w:tc>
          <w:tcPr>
            <w:tcW w:w="358" w:type="pct"/>
            <w:vMerge/>
            <w:tcBorders>
              <w:top w:val="single" w:sz="4" w:space="0" w:color="auto"/>
              <w:left w:val="single" w:sz="4" w:space="0" w:color="auto"/>
              <w:bottom w:val="single" w:sz="4" w:space="0" w:color="auto"/>
              <w:right w:val="single" w:sz="4" w:space="0" w:color="auto"/>
            </w:tcBorders>
            <w:vAlign w:val="center"/>
          </w:tcPr>
          <w:p w14:paraId="504DFA93"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5A92B770" w14:textId="77777777" w:rsidR="006704C2" w:rsidRDefault="006704C2">
            <w:pPr>
              <w:widowControl/>
              <w:jc w:val="left"/>
              <w:rPr>
                <w:rFonts w:ascii="宋体" w:hAnsi="宋体" w:cs="宋体" w:hint="eastAsia"/>
                <w:kern w:val="0"/>
                <w:sz w:val="20"/>
                <w:szCs w:val="20"/>
              </w:rPr>
            </w:pPr>
          </w:p>
        </w:tc>
        <w:tc>
          <w:tcPr>
            <w:tcW w:w="597" w:type="pct"/>
            <w:vMerge/>
            <w:tcBorders>
              <w:top w:val="single" w:sz="4" w:space="0" w:color="auto"/>
              <w:left w:val="single" w:sz="4" w:space="0" w:color="auto"/>
              <w:bottom w:val="single" w:sz="4" w:space="0" w:color="auto"/>
              <w:right w:val="single" w:sz="4" w:space="0" w:color="auto"/>
            </w:tcBorders>
            <w:vAlign w:val="center"/>
          </w:tcPr>
          <w:p w14:paraId="49941BF4" w14:textId="77777777" w:rsidR="006704C2" w:rsidRDefault="006704C2">
            <w:pPr>
              <w:widowControl/>
              <w:jc w:val="left"/>
              <w:rPr>
                <w:rFonts w:ascii="宋体" w:hAnsi="宋体" w:cs="宋体" w:hint="eastAsia"/>
                <w:kern w:val="0"/>
                <w:sz w:val="20"/>
                <w:szCs w:val="20"/>
              </w:rPr>
            </w:pPr>
          </w:p>
        </w:tc>
        <w:tc>
          <w:tcPr>
            <w:tcW w:w="798" w:type="pct"/>
            <w:gridSpan w:val="3"/>
            <w:vMerge/>
            <w:tcBorders>
              <w:top w:val="single" w:sz="4" w:space="0" w:color="auto"/>
              <w:left w:val="single" w:sz="4" w:space="0" w:color="auto"/>
              <w:bottom w:val="single" w:sz="4" w:space="0" w:color="auto"/>
              <w:right w:val="single" w:sz="4" w:space="0" w:color="auto"/>
            </w:tcBorders>
            <w:vAlign w:val="center"/>
          </w:tcPr>
          <w:p w14:paraId="5201386E" w14:textId="77777777" w:rsidR="006704C2" w:rsidRDefault="006704C2">
            <w:pPr>
              <w:widowControl/>
              <w:jc w:val="left"/>
              <w:rPr>
                <w:rFonts w:ascii="宋体" w:hAnsi="宋体" w:cs="宋体" w:hint="eastAsia"/>
                <w:kern w:val="0"/>
                <w:sz w:val="20"/>
                <w:szCs w:val="20"/>
              </w:rPr>
            </w:pPr>
          </w:p>
        </w:tc>
        <w:tc>
          <w:tcPr>
            <w:tcW w:w="515" w:type="pct"/>
            <w:vMerge/>
            <w:tcBorders>
              <w:top w:val="single" w:sz="4" w:space="0" w:color="auto"/>
              <w:left w:val="single" w:sz="4" w:space="0" w:color="auto"/>
              <w:bottom w:val="single" w:sz="4" w:space="0" w:color="auto"/>
              <w:right w:val="single" w:sz="4" w:space="0" w:color="auto"/>
            </w:tcBorders>
            <w:vAlign w:val="center"/>
          </w:tcPr>
          <w:p w14:paraId="13DEB72B" w14:textId="77777777" w:rsidR="006704C2" w:rsidRDefault="006704C2">
            <w:pPr>
              <w:widowControl/>
              <w:jc w:val="left"/>
              <w:rPr>
                <w:rFonts w:ascii="宋体" w:hAnsi="宋体" w:cs="宋体" w:hint="eastAsia"/>
                <w:kern w:val="0"/>
                <w:sz w:val="20"/>
                <w:szCs w:val="20"/>
              </w:rPr>
            </w:pPr>
          </w:p>
        </w:tc>
        <w:tc>
          <w:tcPr>
            <w:tcW w:w="456" w:type="pct"/>
            <w:vMerge/>
            <w:tcBorders>
              <w:top w:val="single" w:sz="4" w:space="0" w:color="auto"/>
              <w:left w:val="single" w:sz="4" w:space="0" w:color="auto"/>
              <w:bottom w:val="single" w:sz="4" w:space="0" w:color="auto"/>
              <w:right w:val="single" w:sz="4" w:space="0" w:color="auto"/>
            </w:tcBorders>
            <w:vAlign w:val="center"/>
          </w:tcPr>
          <w:p w14:paraId="6225B2FA" w14:textId="77777777" w:rsidR="006704C2" w:rsidRDefault="006704C2">
            <w:pPr>
              <w:widowControl/>
              <w:jc w:val="left"/>
              <w:rPr>
                <w:rFonts w:ascii="宋体" w:hAnsi="宋体" w:cs="宋体" w:hint="eastAsia"/>
                <w:kern w:val="0"/>
                <w:sz w:val="20"/>
                <w:szCs w:val="20"/>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tcPr>
          <w:p w14:paraId="5B50102A" w14:textId="77777777" w:rsidR="006704C2" w:rsidRDefault="006704C2">
            <w:pPr>
              <w:widowControl/>
              <w:jc w:val="left"/>
              <w:rPr>
                <w:rFonts w:ascii="宋体" w:hAnsi="宋体" w:cs="宋体" w:hint="eastAsia"/>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tcPr>
          <w:p w14:paraId="2988F1F4" w14:textId="77777777" w:rsidR="006704C2" w:rsidRDefault="006704C2">
            <w:pPr>
              <w:widowControl/>
              <w:jc w:val="left"/>
              <w:rPr>
                <w:rFonts w:ascii="宋体" w:hAnsi="宋体" w:cs="宋体" w:hint="eastAsia"/>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tcPr>
          <w:p w14:paraId="05B6D730" w14:textId="77777777" w:rsidR="006704C2" w:rsidRDefault="006704C2">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tcPr>
          <w:p w14:paraId="526A1318" w14:textId="77777777" w:rsidR="006704C2" w:rsidRDefault="006704C2">
            <w:pPr>
              <w:widowControl/>
              <w:jc w:val="center"/>
              <w:rPr>
                <w:rFonts w:ascii="宋体" w:hAnsi="宋体" w:cs="宋体" w:hint="eastAsia"/>
                <w:kern w:val="0"/>
                <w:sz w:val="20"/>
                <w:szCs w:val="20"/>
              </w:rPr>
            </w:pPr>
          </w:p>
        </w:tc>
      </w:tr>
      <w:tr w:rsidR="006704C2" w14:paraId="60C390A7" w14:textId="77777777" w:rsidTr="007C34EF">
        <w:trPr>
          <w:trHeight w:val="402"/>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E21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年度绩效指标完成情况</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5C3F1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产出指标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1ECC13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CA0C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退还草原生态修复治理面积</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59702D8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&gt;=8万亩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F8EB7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=8万亩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43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8B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A44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2C269F8C" w14:textId="77777777" w:rsidR="006704C2" w:rsidRDefault="006704C2">
            <w:pPr>
              <w:widowControl/>
              <w:jc w:val="left"/>
              <w:rPr>
                <w:rFonts w:eastAsia="Times New Roman"/>
                <w:kern w:val="0"/>
                <w:sz w:val="20"/>
                <w:szCs w:val="20"/>
              </w:rPr>
            </w:pPr>
          </w:p>
        </w:tc>
      </w:tr>
      <w:tr w:rsidR="006704C2" w14:paraId="79A17D65"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49914BDB"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6617EDB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F069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D182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退化草原生态修复治理质量达标率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EF448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4C8EBA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A5D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D3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A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5848BDAD" w14:textId="77777777" w:rsidR="006704C2" w:rsidRDefault="006704C2">
            <w:pPr>
              <w:widowControl/>
              <w:jc w:val="left"/>
              <w:rPr>
                <w:rFonts w:eastAsia="Times New Roman"/>
                <w:kern w:val="0"/>
                <w:sz w:val="20"/>
                <w:szCs w:val="20"/>
              </w:rPr>
            </w:pPr>
          </w:p>
        </w:tc>
      </w:tr>
      <w:tr w:rsidR="006704C2" w14:paraId="68D96F3B"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43548CF1"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1DAFE02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7F361F0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ABC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退化草原生态修复任务完成及时率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3DBBF1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03F03F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F0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D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1B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5FD7E0D" w14:textId="77777777" w:rsidR="006704C2" w:rsidRDefault="006704C2">
            <w:pPr>
              <w:widowControl/>
              <w:jc w:val="left"/>
              <w:rPr>
                <w:rFonts w:eastAsia="Times New Roman"/>
                <w:kern w:val="0"/>
                <w:sz w:val="20"/>
                <w:szCs w:val="20"/>
              </w:rPr>
            </w:pPr>
          </w:p>
        </w:tc>
      </w:tr>
      <w:tr w:rsidR="006704C2" w14:paraId="37A38F1C"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788D1CF5" w14:textId="77777777" w:rsidR="006704C2" w:rsidRDefault="006704C2">
            <w:pPr>
              <w:widowControl/>
              <w:jc w:val="left"/>
              <w:rPr>
                <w:rFonts w:ascii="宋体" w:hAnsi="宋体" w:cs="宋体" w:hint="eastAsia"/>
                <w:kern w:val="0"/>
                <w:sz w:val="20"/>
                <w:szCs w:val="20"/>
              </w:rPr>
            </w:pP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CE88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69150E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9307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2A2525D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E287B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762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94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81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700E024" w14:textId="77777777" w:rsidR="006704C2" w:rsidRDefault="006704C2">
            <w:pPr>
              <w:widowControl/>
              <w:jc w:val="left"/>
              <w:rPr>
                <w:rFonts w:eastAsia="Times New Roman"/>
                <w:kern w:val="0"/>
                <w:sz w:val="20"/>
                <w:szCs w:val="20"/>
              </w:rPr>
            </w:pPr>
          </w:p>
        </w:tc>
      </w:tr>
      <w:tr w:rsidR="006704C2" w14:paraId="0F111694"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8B5EA55"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15EB8B75"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1D36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816B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辖区牧民投诉率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AFB83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DE91C9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34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9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CCF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761497D1" w14:textId="77777777" w:rsidR="006704C2" w:rsidRDefault="006704C2">
            <w:pPr>
              <w:widowControl/>
              <w:jc w:val="left"/>
              <w:rPr>
                <w:rFonts w:eastAsia="Times New Roman"/>
                <w:kern w:val="0"/>
                <w:sz w:val="20"/>
                <w:szCs w:val="20"/>
              </w:rPr>
            </w:pPr>
          </w:p>
        </w:tc>
      </w:tr>
      <w:tr w:rsidR="006704C2" w14:paraId="14B96945"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D9BE3BD"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007C977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6CA6B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生态环境成本指标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DD3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7DA07E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26EA4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87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15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0D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0930F29" w14:textId="77777777" w:rsidR="006704C2" w:rsidRDefault="006704C2">
            <w:pPr>
              <w:widowControl/>
              <w:jc w:val="left"/>
              <w:rPr>
                <w:rFonts w:eastAsia="Times New Roman"/>
                <w:kern w:val="0"/>
                <w:sz w:val="20"/>
                <w:szCs w:val="20"/>
              </w:rPr>
            </w:pPr>
          </w:p>
        </w:tc>
      </w:tr>
      <w:tr w:rsidR="006704C2" w14:paraId="71EE9593"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28083996" w14:textId="77777777" w:rsidR="006704C2" w:rsidRDefault="006704C2">
            <w:pPr>
              <w:widowControl/>
              <w:jc w:val="left"/>
              <w:rPr>
                <w:rFonts w:ascii="宋体" w:hAnsi="宋体" w:cs="宋体" w:hint="eastAsia"/>
                <w:kern w:val="0"/>
                <w:sz w:val="20"/>
                <w:szCs w:val="20"/>
              </w:rPr>
            </w:pP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5E7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效益指标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7EBED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DBC7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改善退化草原完成率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5134C7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0DB12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11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E6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8BF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83EF2A0" w14:textId="77777777" w:rsidR="006704C2" w:rsidRDefault="006704C2">
            <w:pPr>
              <w:widowControl/>
              <w:jc w:val="left"/>
              <w:rPr>
                <w:rFonts w:eastAsia="Times New Roman"/>
                <w:kern w:val="0"/>
                <w:sz w:val="20"/>
                <w:szCs w:val="20"/>
              </w:rPr>
            </w:pPr>
          </w:p>
        </w:tc>
      </w:tr>
      <w:tr w:rsidR="006704C2" w14:paraId="766E5D5C"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68ED241B"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6C8F1BD0"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92AEC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CBC8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带动就业人数</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3C86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&gt;=120人</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A4C5D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=120人</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96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3EA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6C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16F2A9F2" w14:textId="77777777" w:rsidR="006704C2" w:rsidRDefault="006704C2">
            <w:pPr>
              <w:widowControl/>
              <w:jc w:val="left"/>
              <w:rPr>
                <w:rFonts w:eastAsia="Times New Roman"/>
                <w:kern w:val="0"/>
                <w:sz w:val="20"/>
                <w:szCs w:val="20"/>
              </w:rPr>
            </w:pPr>
          </w:p>
        </w:tc>
      </w:tr>
      <w:tr w:rsidR="006704C2" w14:paraId="6A387567"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03009853"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48E04C0B"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5FD2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B690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71491B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1CBEE3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6E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B0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F0A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F6D96A1" w14:textId="77777777" w:rsidR="006704C2" w:rsidRDefault="006704C2">
            <w:pPr>
              <w:widowControl/>
              <w:jc w:val="left"/>
              <w:rPr>
                <w:rFonts w:eastAsia="Times New Roman"/>
                <w:kern w:val="0"/>
                <w:sz w:val="20"/>
                <w:szCs w:val="20"/>
              </w:rPr>
            </w:pPr>
          </w:p>
        </w:tc>
      </w:tr>
      <w:tr w:rsidR="006704C2" w14:paraId="7FB4101D"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2FCE53C" w14:textId="77777777" w:rsidR="006704C2" w:rsidRDefault="006704C2">
            <w:pPr>
              <w:widowControl/>
              <w:jc w:val="left"/>
              <w:rPr>
                <w:rFonts w:ascii="宋体" w:hAnsi="宋体" w:cs="宋体" w:hint="eastAsia"/>
                <w:kern w:val="0"/>
                <w:sz w:val="20"/>
                <w:szCs w:val="20"/>
              </w:rPr>
            </w:pP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AF2E91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23E4FD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787E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184D96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2095C26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A0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4F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2CF2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D11D20E" w14:textId="77777777" w:rsidR="006704C2" w:rsidRDefault="006704C2">
            <w:pPr>
              <w:widowControl/>
              <w:jc w:val="left"/>
              <w:rPr>
                <w:rFonts w:eastAsia="Times New Roman"/>
                <w:kern w:val="0"/>
                <w:sz w:val="20"/>
                <w:szCs w:val="20"/>
              </w:rPr>
            </w:pPr>
          </w:p>
        </w:tc>
      </w:tr>
      <w:tr w:rsidR="006704C2" w14:paraId="1695AF07" w14:textId="77777777" w:rsidTr="007C34EF">
        <w:trPr>
          <w:trHeight w:val="270"/>
        </w:trPr>
        <w:tc>
          <w:tcPr>
            <w:tcW w:w="308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DB2F1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总分</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28AB01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35F3A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tcPr>
          <w:p w14:paraId="3766508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6B2C1E5C" w14:textId="77777777" w:rsidR="006704C2" w:rsidRDefault="006704C2">
            <w:pPr>
              <w:widowControl/>
              <w:jc w:val="left"/>
              <w:rPr>
                <w:rFonts w:eastAsia="Times New Roman"/>
                <w:kern w:val="0"/>
                <w:sz w:val="20"/>
                <w:szCs w:val="20"/>
              </w:rPr>
            </w:pPr>
          </w:p>
        </w:tc>
      </w:tr>
    </w:tbl>
    <w:p w14:paraId="07685FE9" w14:textId="77777777" w:rsidR="006704C2" w:rsidRDefault="006704C2">
      <w:pPr>
        <w:ind w:firstLineChars="200" w:firstLine="640"/>
        <w:jc w:val="left"/>
        <w:rPr>
          <w:rFonts w:ascii="仿宋_GB2312" w:eastAsia="仿宋_GB2312"/>
          <w:sz w:val="32"/>
          <w:szCs w:val="32"/>
        </w:rPr>
      </w:pPr>
    </w:p>
    <w:p w14:paraId="4A34223E" w14:textId="77777777" w:rsidR="006704C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D1291FE" w14:textId="77777777" w:rsidR="006704C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C77A592" w14:textId="77777777" w:rsidR="006704C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7517CC3F"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D03708B"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8014E72"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52B765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676BBA"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9C9809"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816677"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44AADC"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w:t>
      </w:r>
      <w:r>
        <w:rPr>
          <w:rFonts w:ascii="仿宋_GB2312" w:eastAsia="仿宋_GB2312" w:hint="eastAsia"/>
          <w:sz w:val="32"/>
          <w:szCs w:val="32"/>
        </w:rPr>
        <w:lastRenderedPageBreak/>
        <w:t>度按有关规定继续使用的资金，既包括财政拨款结转和结余，也包括事业收入、经营收入、其他收入的结转和结余。</w:t>
      </w:r>
    </w:p>
    <w:p w14:paraId="2B5BACA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6FAC6A6"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A3BB8E"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5EE3C4"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4C45A"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FD649E" w14:textId="77777777" w:rsidR="006704C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609FCE1" w14:textId="77777777" w:rsidR="006704C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8372AC4" w14:textId="77777777" w:rsidR="006704C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7071AD" w14:textId="77777777" w:rsidR="006704C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FC5D6D5" w14:textId="77777777" w:rsidR="006704C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3CF932E" w14:textId="77777777" w:rsidR="006704C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D4E1179" w14:textId="77777777" w:rsidR="006704C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0701068F" w14:textId="77777777" w:rsidR="006704C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D6546E2"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415D2903" w14:textId="77777777" w:rsidR="006704C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2DFB3AEC"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10399E" w14:textId="77777777" w:rsidR="006704C2" w:rsidRDefault="006704C2">
      <w:pPr>
        <w:ind w:firstLineChars="200" w:firstLine="640"/>
        <w:rPr>
          <w:rFonts w:ascii="仿宋_GB2312" w:eastAsia="仿宋_GB2312"/>
          <w:sz w:val="32"/>
          <w:szCs w:val="32"/>
        </w:rPr>
      </w:pPr>
    </w:p>
    <w:p w14:paraId="7B7F199E" w14:textId="77777777" w:rsidR="006704C2" w:rsidRDefault="006704C2">
      <w:pPr>
        <w:ind w:firstLineChars="200" w:firstLine="640"/>
        <w:outlineLvl w:val="1"/>
        <w:rPr>
          <w:rFonts w:ascii="黑体" w:eastAsia="黑体" w:hAnsi="黑体" w:cs="宋体" w:hint="eastAsia"/>
          <w:bCs/>
          <w:kern w:val="0"/>
          <w:sz w:val="32"/>
          <w:szCs w:val="32"/>
        </w:rPr>
      </w:pPr>
    </w:p>
    <w:sectPr w:rsidR="006704C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A5FD2" w14:textId="77777777" w:rsidR="0072385A" w:rsidRDefault="0072385A">
      <w:r>
        <w:separator/>
      </w:r>
    </w:p>
  </w:endnote>
  <w:endnote w:type="continuationSeparator" w:id="0">
    <w:p w14:paraId="12DDEB97" w14:textId="77777777" w:rsidR="0072385A" w:rsidRDefault="0072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E4604" w14:textId="77777777" w:rsidR="006704C2" w:rsidRDefault="00000000">
    <w:pPr>
      <w:pStyle w:val="a4"/>
    </w:pPr>
    <w:r>
      <w:rPr>
        <w:noProof/>
      </w:rPr>
      <mc:AlternateContent>
        <mc:Choice Requires="wps">
          <w:drawing>
            <wp:anchor distT="0" distB="0" distL="114300" distR="114300" simplePos="0" relativeHeight="251659264" behindDoc="0" locked="0" layoutInCell="1" allowOverlap="1" wp14:anchorId="587A8B15" wp14:editId="703699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87A8B1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6558A" w14:textId="77777777" w:rsidR="0072385A" w:rsidRDefault="0072385A">
      <w:r>
        <w:separator/>
      </w:r>
    </w:p>
  </w:footnote>
  <w:footnote w:type="continuationSeparator" w:id="0">
    <w:p w14:paraId="08551EF4" w14:textId="77777777" w:rsidR="0072385A" w:rsidRDefault="0072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768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344A18"/>
    <w:rsid w:val="000E3D90"/>
    <w:rsid w:val="00213C59"/>
    <w:rsid w:val="00222F22"/>
    <w:rsid w:val="00227367"/>
    <w:rsid w:val="0024103A"/>
    <w:rsid w:val="00250250"/>
    <w:rsid w:val="002D3E17"/>
    <w:rsid w:val="003210CE"/>
    <w:rsid w:val="00344A18"/>
    <w:rsid w:val="00393AAC"/>
    <w:rsid w:val="003A2D0F"/>
    <w:rsid w:val="003A3E83"/>
    <w:rsid w:val="003D105C"/>
    <w:rsid w:val="0045190D"/>
    <w:rsid w:val="004852FC"/>
    <w:rsid w:val="0052043B"/>
    <w:rsid w:val="00524E2B"/>
    <w:rsid w:val="00541735"/>
    <w:rsid w:val="005A4F32"/>
    <w:rsid w:val="00623721"/>
    <w:rsid w:val="006704C2"/>
    <w:rsid w:val="00675371"/>
    <w:rsid w:val="0069558A"/>
    <w:rsid w:val="0072385A"/>
    <w:rsid w:val="007256AA"/>
    <w:rsid w:val="007C34EF"/>
    <w:rsid w:val="008672FE"/>
    <w:rsid w:val="00950763"/>
    <w:rsid w:val="00AA47C4"/>
    <w:rsid w:val="00AD1BC9"/>
    <w:rsid w:val="00AD7AAA"/>
    <w:rsid w:val="00B70D59"/>
    <w:rsid w:val="00B90813"/>
    <w:rsid w:val="00C96728"/>
    <w:rsid w:val="00CB0987"/>
    <w:rsid w:val="00CF6975"/>
    <w:rsid w:val="00D27261"/>
    <w:rsid w:val="00DA7F55"/>
    <w:rsid w:val="00DB0043"/>
    <w:rsid w:val="00F52A8D"/>
    <w:rsid w:val="00FF42BE"/>
    <w:rsid w:val="019404F8"/>
    <w:rsid w:val="02BD3108"/>
    <w:rsid w:val="02F73D26"/>
    <w:rsid w:val="034D4FEF"/>
    <w:rsid w:val="035D1785"/>
    <w:rsid w:val="039F47CE"/>
    <w:rsid w:val="03E05CE8"/>
    <w:rsid w:val="03F973EE"/>
    <w:rsid w:val="043E5B56"/>
    <w:rsid w:val="048C3708"/>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440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A00618"/>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00892"/>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94495"/>
    <w:rsid w:val="584A0929"/>
    <w:rsid w:val="58CD2491"/>
    <w:rsid w:val="591B41B2"/>
    <w:rsid w:val="59254A26"/>
    <w:rsid w:val="59326325"/>
    <w:rsid w:val="595C505B"/>
    <w:rsid w:val="595E55C3"/>
    <w:rsid w:val="596E7E20"/>
    <w:rsid w:val="59C503C4"/>
    <w:rsid w:val="59F9242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D31CB"/>
  <w15:docId w15:val="{3EF82EDE-CC9B-4205-8CCA-F60F7E8F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18</Pages>
  <Words>1377</Words>
  <Characters>7851</Characters>
  <Application>Microsoft Office Word</Application>
  <DocSecurity>0</DocSecurity>
  <Lines>65</Lines>
  <Paragraphs>18</Paragraphs>
  <ScaleCrop>false</ScaleCrop>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